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5B7874" w:rsidRDefault="00011212">
            <w:pPr>
              <w:jc w:val="both"/>
              <w:rPr>
                <w:rFonts w:ascii="Arial" w:hAnsi="Arial"/>
                <w:b/>
                <w:bCs/>
                <w:sz w:val="28"/>
                <w:szCs w:val="28"/>
              </w:rPr>
            </w:pPr>
            <w:r w:rsidRPr="005B7874">
              <w:rPr>
                <w:rFonts w:ascii="Arial" w:hAnsi="Arial" w:hint="cs"/>
                <w:b/>
                <w:bCs/>
                <w:sz w:val="28"/>
                <w:szCs w:val="28"/>
                <w:rtl/>
              </w:rPr>
              <w:t>ב</w:t>
            </w:r>
            <w:r w:rsidRPr="005B7874">
              <w:rPr>
                <w:rFonts w:ascii="Arial" w:hAnsi="Arial"/>
                <w:b/>
                <w:bCs/>
                <w:sz w:val="28"/>
                <w:szCs w:val="28"/>
                <w:rtl/>
              </w:rPr>
              <w:t xml:space="preserve">פני </w:t>
            </w:r>
          </w:p>
        </w:tc>
        <w:tc>
          <w:tcPr>
            <w:tcW w:w="8077" w:type="dxa"/>
            <w:gridSpan w:val="2"/>
          </w:tcPr>
          <w:p w:rsidR="002914D6" w:rsidRPr="005B7874" w:rsidRDefault="00011212">
            <w:pPr>
              <w:rPr>
                <w:rFonts w:ascii="Arial" w:hAnsi="Arial"/>
                <w:b/>
                <w:bCs/>
                <w:sz w:val="28"/>
                <w:szCs w:val="28"/>
                <w:rtl/>
              </w:rPr>
            </w:pPr>
            <w:r w:rsidRPr="005B7874">
              <w:rPr>
                <w:rFonts w:ascii="Arial" w:hAnsi="Arial" w:hint="cs"/>
                <w:b/>
                <w:bCs/>
                <w:sz w:val="28"/>
                <w:szCs w:val="28"/>
                <w:rtl/>
              </w:rPr>
              <w:t>כב' ה</w:t>
            </w:r>
            <w:sdt>
              <w:sdtPr>
                <w:rPr>
                  <w:sz w:val="28"/>
                  <w:szCs w:val="28"/>
                  <w:rtl/>
                </w:rPr>
                <w:alias w:val="1574"/>
                <w:tag w:val="1574"/>
                <w:id w:val="490682261"/>
                <w:text w:multiLine="1"/>
              </w:sdtPr>
              <w:sdtEndPr/>
              <w:sdtContent>
                <w:r w:rsidRPr="005B7874">
                  <w:rPr>
                    <w:rFonts w:ascii="Arial" w:hAnsi="Arial"/>
                    <w:b/>
                    <w:bCs/>
                    <w:sz w:val="28"/>
                    <w:szCs w:val="28"/>
                    <w:rtl/>
                  </w:rPr>
                  <w:t>שופטת</w:t>
                </w:r>
              </w:sdtContent>
            </w:sdt>
            <w:r w:rsidRPr="005B7874">
              <w:rPr>
                <w:rFonts w:ascii="Arial" w:hAnsi="Arial" w:hint="cs"/>
                <w:b/>
                <w:bCs/>
                <w:sz w:val="28"/>
                <w:szCs w:val="28"/>
                <w:rtl/>
              </w:rPr>
              <w:t xml:space="preserve">  </w:t>
            </w:r>
            <w:sdt>
              <w:sdtPr>
                <w:rPr>
                  <w:sz w:val="28"/>
                  <w:szCs w:val="28"/>
                  <w:rtl/>
                </w:rPr>
                <w:alias w:val="1573"/>
                <w:tag w:val="1573"/>
                <w:id w:val="-1842311034"/>
                <w:text w:multiLine="1"/>
              </w:sdtPr>
              <w:sdtEndPr/>
              <w:sdtContent>
                <w:r w:rsidRPr="005B7874">
                  <w:rPr>
                    <w:rFonts w:ascii="Arial" w:hAnsi="Arial"/>
                    <w:b/>
                    <w:bCs/>
                    <w:sz w:val="28"/>
                    <w:szCs w:val="28"/>
                    <w:rtl/>
                  </w:rPr>
                  <w:t>ציפי כהן אביטן</w:t>
                </w:r>
              </w:sdtContent>
            </w:sdt>
          </w:p>
          <w:p w:rsidR="002914D6" w:rsidRPr="005B7874" w:rsidRDefault="002914D6">
            <w:pPr>
              <w:rPr>
                <w:rFonts w:ascii="Arial" w:hAnsi="Arial" w:cs="FrankRuehl"/>
                <w:sz w:val="28"/>
                <w:szCs w:val="28"/>
                <w:highlight w:val="yellow"/>
              </w:rPr>
            </w:pPr>
          </w:p>
        </w:tc>
      </w:tr>
      <w:tr w:rsidR="002914D6">
        <w:trPr>
          <w:jc w:val="center"/>
        </w:trPr>
        <w:sdt>
          <w:sdtPr>
            <w:rPr>
              <w:rFonts w:ascii="Arial" w:hAnsi="Arial"/>
              <w:b/>
              <w:bCs/>
              <w:noProof w:val="0"/>
              <w:sz w:val="28"/>
              <w:szCs w:val="28"/>
            </w:rPr>
            <w:alias w:val="1180"/>
            <w:tag w:val="1180"/>
            <w:id w:val="108787784"/>
            <w:placeholder>
              <w:docPart w:val="31A55F6979184A8EB6F607B634EEB644"/>
            </w:placeholder>
            <w:showingPlcHdr/>
            <w:text w:multiLine="1"/>
          </w:sdtPr>
          <w:sdtEndPr/>
          <w:sdtContent>
            <w:tc>
              <w:tcPr>
                <w:tcW w:w="3249" w:type="dxa"/>
                <w:gridSpan w:val="2"/>
              </w:tcPr>
              <w:p w:rsidR="002914D6" w:rsidRPr="005B7874" w:rsidRDefault="00BD5B6B" w:rsidP="00BD5B6B">
                <w:pPr>
                  <w:bidi w:val="0"/>
                  <w:jc w:val="right"/>
                  <w:rPr>
                    <w:rFonts w:ascii="Arial" w:hAnsi="Arial"/>
                    <w:b/>
                    <w:bCs/>
                    <w:noProof w:val="0"/>
                    <w:sz w:val="28"/>
                    <w:szCs w:val="28"/>
                    <w:rtl/>
                  </w:rPr>
                </w:pPr>
                <w:r w:rsidRPr="005B7874">
                  <w:rPr>
                    <w:rStyle w:val="ac"/>
                    <w:b/>
                    <w:bCs/>
                    <w:color w:val="auto"/>
                    <w:sz w:val="28"/>
                    <w:szCs w:val="28"/>
                    <w:rtl/>
                  </w:rPr>
                  <w:t>תובעים</w:t>
                </w:r>
              </w:p>
            </w:tc>
          </w:sdtContent>
        </w:sdt>
        <w:tc>
          <w:tcPr>
            <w:tcW w:w="5571" w:type="dxa"/>
          </w:tcPr>
          <w:p w:rsidR="002914D6" w:rsidRPr="00224BD1" w:rsidRDefault="00BD5B6B" w:rsidP="00224BD1">
            <w:pPr>
              <w:rPr>
                <w:b/>
                <w:bCs/>
                <w:noProof w:val="0"/>
                <w:sz w:val="28"/>
                <w:szCs w:val="28"/>
              </w:rPr>
            </w:pPr>
            <w:r w:rsidRPr="005B7874">
              <w:rPr>
                <w:b/>
                <w:bCs/>
                <w:noProof w:val="0"/>
                <w:sz w:val="28"/>
                <w:szCs w:val="28"/>
                <w:rtl/>
              </w:rPr>
              <w:t xml:space="preserve"> </w:t>
            </w:r>
            <w:sdt>
              <w:sdtPr>
                <w:rPr>
                  <w:b/>
                  <w:bCs/>
                  <w:noProof w:val="0"/>
                  <w:sz w:val="28"/>
                  <w:szCs w:val="28"/>
                  <w:rtl/>
                </w:rPr>
                <w:alias w:val="1462"/>
                <w:tag w:val="1462"/>
                <w:id w:val="-1109351581"/>
                <w:placeholder>
                  <w:docPart w:val="FA8313722632438DBA3F8DDF6CE94B00"/>
                </w:placeholder>
                <w:text w:multiLine="1"/>
              </w:sdtPr>
              <w:sdtEndPr/>
              <w:sdtContent>
                <w:r w:rsidRPr="005B7874">
                  <w:rPr>
                    <w:rStyle w:val="ac"/>
                    <w:b/>
                    <w:bCs/>
                    <w:color w:val="auto"/>
                    <w:sz w:val="28"/>
                    <w:szCs w:val="28"/>
                    <w:rtl/>
                  </w:rPr>
                  <w:t>1</w:t>
                </w:r>
              </w:sdtContent>
            </w:sdt>
            <w:r w:rsidRPr="005B7874">
              <w:rPr>
                <w:rFonts w:hint="cs"/>
                <w:b/>
                <w:bCs/>
                <w:noProof w:val="0"/>
                <w:sz w:val="28"/>
                <w:szCs w:val="28"/>
                <w:rtl/>
              </w:rPr>
              <w:t xml:space="preserve">. </w:t>
            </w:r>
            <w:sdt>
              <w:sdtPr>
                <w:rPr>
                  <w:rFonts w:hint="cs"/>
                  <w:b/>
                  <w:bCs/>
                  <w:noProof w:val="0"/>
                  <w:sz w:val="28"/>
                  <w:szCs w:val="28"/>
                  <w:rtl/>
                </w:rPr>
                <w:alias w:val="1478"/>
                <w:tag w:val="1478"/>
                <w:id w:val="614022805"/>
                <w:text w:multiLine="1"/>
              </w:sdtPr>
              <w:sdtEndPr/>
              <w:sdtContent>
                <w:r w:rsidR="00224BD1" w:rsidRPr="00224BD1">
                  <w:rPr>
                    <w:rStyle w:val="ac"/>
                    <w:rFonts w:hint="cs"/>
                    <w:b/>
                    <w:bCs/>
                    <w:color w:val="auto"/>
                    <w:sz w:val="28"/>
                    <w:szCs w:val="28"/>
                    <w:rtl/>
                  </w:rPr>
                  <w:t>פלוני</w:t>
                </w:r>
              </w:sdtContent>
            </w:sdt>
            <w:r w:rsidRPr="00224BD1">
              <w:rPr>
                <w:rFonts w:hint="cs"/>
                <w:b/>
                <w:bCs/>
                <w:noProof w:val="0"/>
                <w:sz w:val="28"/>
                <w:szCs w:val="28"/>
                <w:rtl/>
              </w:rPr>
              <w:t xml:space="preserve"> </w:t>
            </w:r>
          </w:p>
          <w:p w:rsidR="002914D6" w:rsidRPr="00224BD1" w:rsidRDefault="00BD5B6B" w:rsidP="00224BD1">
            <w:pPr>
              <w:rPr>
                <w:b/>
                <w:bCs/>
                <w:noProof w:val="0"/>
                <w:sz w:val="28"/>
                <w:szCs w:val="28"/>
              </w:rPr>
            </w:pPr>
            <w:r w:rsidRPr="00224BD1">
              <w:rPr>
                <w:b/>
                <w:bCs/>
                <w:noProof w:val="0"/>
                <w:sz w:val="28"/>
                <w:szCs w:val="28"/>
                <w:rtl/>
              </w:rPr>
              <w:t xml:space="preserve"> </w:t>
            </w:r>
            <w:sdt>
              <w:sdtPr>
                <w:rPr>
                  <w:b/>
                  <w:bCs/>
                  <w:noProof w:val="0"/>
                  <w:sz w:val="28"/>
                  <w:szCs w:val="28"/>
                  <w:rtl/>
                </w:rPr>
                <w:alias w:val="1462"/>
                <w:tag w:val="1462"/>
                <w:id w:val="-1033802411"/>
                <w:placeholder>
                  <w:docPart w:val="FA8313722632438DBA3F8DDF6CE94B00"/>
                </w:placeholder>
                <w:text w:multiLine="1"/>
              </w:sdtPr>
              <w:sdtEndPr/>
              <w:sdtContent>
                <w:r w:rsidRPr="00224BD1">
                  <w:rPr>
                    <w:rStyle w:val="ac"/>
                    <w:b/>
                    <w:bCs/>
                    <w:color w:val="auto"/>
                    <w:sz w:val="28"/>
                    <w:szCs w:val="28"/>
                    <w:rtl/>
                  </w:rPr>
                  <w:t>2</w:t>
                </w:r>
              </w:sdtContent>
            </w:sdt>
            <w:r w:rsidRPr="00224BD1">
              <w:rPr>
                <w:rFonts w:hint="cs"/>
                <w:b/>
                <w:bCs/>
                <w:noProof w:val="0"/>
                <w:sz w:val="28"/>
                <w:szCs w:val="28"/>
                <w:rtl/>
              </w:rPr>
              <w:t xml:space="preserve">. </w:t>
            </w:r>
            <w:sdt>
              <w:sdtPr>
                <w:rPr>
                  <w:rFonts w:hint="cs"/>
                  <w:b/>
                  <w:bCs/>
                  <w:noProof w:val="0"/>
                  <w:sz w:val="28"/>
                  <w:szCs w:val="28"/>
                  <w:rtl/>
                </w:rPr>
                <w:alias w:val="1478"/>
                <w:tag w:val="1478"/>
                <w:id w:val="-1238855871"/>
                <w:text w:multiLine="1"/>
              </w:sdtPr>
              <w:sdtEndPr/>
              <w:sdtContent>
                <w:r w:rsidR="00224BD1" w:rsidRPr="00224BD1">
                  <w:rPr>
                    <w:rStyle w:val="ac"/>
                    <w:rFonts w:hint="cs"/>
                    <w:b/>
                    <w:bCs/>
                    <w:color w:val="auto"/>
                    <w:sz w:val="28"/>
                    <w:szCs w:val="28"/>
                    <w:rtl/>
                  </w:rPr>
                  <w:t>אלמוני</w:t>
                </w:r>
              </w:sdtContent>
            </w:sdt>
            <w:r w:rsidRPr="00224BD1">
              <w:rPr>
                <w:rFonts w:hint="cs"/>
                <w:b/>
                <w:bCs/>
                <w:noProof w:val="0"/>
                <w:sz w:val="28"/>
                <w:szCs w:val="28"/>
                <w:rtl/>
              </w:rPr>
              <w:t xml:space="preserve"> </w:t>
            </w:r>
          </w:p>
          <w:p w:rsidR="00224BD1" w:rsidRPr="00224BD1" w:rsidRDefault="00BD5B6B" w:rsidP="00224BD1">
            <w:pPr>
              <w:suppressLineNumbers/>
              <w:rPr>
                <w:rStyle w:val="ac"/>
                <w:b/>
                <w:bCs/>
                <w:color w:val="auto"/>
                <w:sz w:val="28"/>
                <w:szCs w:val="28"/>
                <w:rtl/>
              </w:rPr>
            </w:pPr>
            <w:r w:rsidRPr="00224BD1">
              <w:rPr>
                <w:b/>
                <w:bCs/>
                <w:noProof w:val="0"/>
                <w:sz w:val="28"/>
                <w:szCs w:val="28"/>
                <w:rtl/>
              </w:rPr>
              <w:t xml:space="preserve"> </w:t>
            </w:r>
            <w:sdt>
              <w:sdtPr>
                <w:rPr>
                  <w:b/>
                  <w:bCs/>
                  <w:noProof w:val="0"/>
                  <w:sz w:val="28"/>
                  <w:szCs w:val="28"/>
                  <w:rtl/>
                </w:rPr>
                <w:alias w:val="1462"/>
                <w:tag w:val="1462"/>
                <w:id w:val="521285714"/>
                <w:placeholder>
                  <w:docPart w:val="FA8313722632438DBA3F8DDF6CE94B00"/>
                </w:placeholder>
                <w:text w:multiLine="1"/>
              </w:sdtPr>
              <w:sdtEndPr/>
              <w:sdtContent>
                <w:r w:rsidRPr="00224BD1">
                  <w:rPr>
                    <w:rStyle w:val="ac"/>
                    <w:b/>
                    <w:bCs/>
                    <w:color w:val="auto"/>
                    <w:sz w:val="28"/>
                    <w:szCs w:val="28"/>
                    <w:rtl/>
                  </w:rPr>
                  <w:t>3</w:t>
                </w:r>
              </w:sdtContent>
            </w:sdt>
            <w:r w:rsidRPr="00224BD1">
              <w:rPr>
                <w:rFonts w:hint="cs"/>
                <w:b/>
                <w:bCs/>
                <w:noProof w:val="0"/>
                <w:sz w:val="28"/>
                <w:szCs w:val="28"/>
                <w:rtl/>
              </w:rPr>
              <w:t xml:space="preserve">. </w:t>
            </w:r>
            <w:sdt>
              <w:sdtPr>
                <w:rPr>
                  <w:rFonts w:hint="cs"/>
                  <w:b/>
                  <w:bCs/>
                  <w:noProof w:val="0"/>
                  <w:sz w:val="28"/>
                  <w:szCs w:val="28"/>
                  <w:rtl/>
                </w:rPr>
                <w:alias w:val="1478"/>
                <w:tag w:val="1478"/>
                <w:id w:val="-129788399"/>
                <w:text w:multiLine="1"/>
              </w:sdtPr>
              <w:sdtEndPr/>
              <w:sdtContent>
                <w:r w:rsidR="00224BD1" w:rsidRPr="00224BD1">
                  <w:rPr>
                    <w:rStyle w:val="ac"/>
                    <w:rFonts w:hint="cs"/>
                    <w:b/>
                    <w:bCs/>
                    <w:color w:val="auto"/>
                    <w:sz w:val="28"/>
                    <w:szCs w:val="28"/>
                    <w:rtl/>
                  </w:rPr>
                  <w:t>אלמונית</w:t>
                </w:r>
              </w:sdtContent>
            </w:sdt>
          </w:p>
          <w:p w:rsidR="005B7874" w:rsidRPr="005B7874" w:rsidRDefault="00224BD1" w:rsidP="00224BD1">
            <w:pPr>
              <w:suppressLineNumbers/>
              <w:rPr>
                <w:b/>
                <w:bCs/>
                <w:noProof w:val="0"/>
                <w:sz w:val="28"/>
                <w:szCs w:val="28"/>
              </w:rPr>
            </w:pPr>
            <w:r>
              <w:rPr>
                <w:rFonts w:hint="cs"/>
                <w:b/>
                <w:bCs/>
                <w:sz w:val="28"/>
                <w:szCs w:val="28"/>
                <w:rtl/>
              </w:rPr>
              <w:t xml:space="preserve">באמצעות </w:t>
            </w:r>
            <w:r w:rsidR="005B7874" w:rsidRPr="005B7874">
              <w:rPr>
                <w:rFonts w:hint="cs"/>
                <w:b/>
                <w:bCs/>
                <w:sz w:val="28"/>
                <w:szCs w:val="28"/>
                <w:rtl/>
              </w:rPr>
              <w:t xml:space="preserve">עו"ד יהודית מייזלס ועו"ד מיכל לוי </w:t>
            </w:r>
          </w:p>
          <w:p w:rsidR="002914D6" w:rsidRPr="005B7874" w:rsidRDefault="002914D6" w:rsidP="00BD5B6B">
            <w:pPr>
              <w:rPr>
                <w:b/>
                <w:bCs/>
                <w:noProof w:val="0"/>
                <w:sz w:val="28"/>
                <w:szCs w:val="28"/>
              </w:rPr>
            </w:pPr>
          </w:p>
        </w:tc>
      </w:tr>
      <w:tr w:rsidR="002914D6">
        <w:trPr>
          <w:jc w:val="center"/>
        </w:trPr>
        <w:tc>
          <w:tcPr>
            <w:tcW w:w="8820" w:type="dxa"/>
            <w:gridSpan w:val="3"/>
          </w:tcPr>
          <w:p w:rsidR="002914D6" w:rsidRPr="005B7874" w:rsidRDefault="002914D6">
            <w:pPr>
              <w:rPr>
                <w:rFonts w:ascii="Arial" w:hAnsi="Arial"/>
                <w:b/>
                <w:bCs/>
                <w:noProof w:val="0"/>
                <w:sz w:val="28"/>
                <w:szCs w:val="28"/>
                <w:rtl/>
              </w:rPr>
            </w:pPr>
          </w:p>
          <w:p w:rsidR="002914D6" w:rsidRPr="005B7874" w:rsidRDefault="00011212">
            <w:pPr>
              <w:jc w:val="center"/>
              <w:rPr>
                <w:rFonts w:ascii="Arial" w:hAnsi="Arial"/>
                <w:b/>
                <w:bCs/>
                <w:noProof w:val="0"/>
                <w:sz w:val="28"/>
                <w:szCs w:val="28"/>
                <w:rtl/>
              </w:rPr>
            </w:pPr>
            <w:r w:rsidRPr="005B7874">
              <w:rPr>
                <w:rFonts w:ascii="Arial" w:hAnsi="Arial"/>
                <w:b/>
                <w:bCs/>
                <w:noProof w:val="0"/>
                <w:sz w:val="28"/>
                <w:szCs w:val="28"/>
                <w:rtl/>
              </w:rPr>
              <w:t>נגד</w:t>
            </w:r>
          </w:p>
          <w:p w:rsidR="002914D6" w:rsidRPr="005B7874" w:rsidRDefault="002914D6">
            <w:pPr>
              <w:rPr>
                <w:rFonts w:ascii="Arial" w:hAnsi="Arial"/>
                <w:b/>
                <w:bCs/>
                <w:noProof w:val="0"/>
                <w:sz w:val="28"/>
                <w:szCs w:val="28"/>
              </w:rPr>
            </w:pPr>
          </w:p>
        </w:tc>
      </w:tr>
      <w:tr w:rsidR="002914D6">
        <w:trPr>
          <w:jc w:val="center"/>
        </w:trPr>
        <w:tc>
          <w:tcPr>
            <w:tcW w:w="3249" w:type="dxa"/>
            <w:gridSpan w:val="2"/>
          </w:tcPr>
          <w:p w:rsidR="002914D6" w:rsidRPr="005B7874" w:rsidRDefault="002914D6">
            <w:pPr>
              <w:rPr>
                <w:rFonts w:ascii="Arial" w:hAnsi="Arial"/>
                <w:b/>
                <w:bCs/>
                <w:noProof w:val="0"/>
                <w:sz w:val="28"/>
                <w:szCs w:val="28"/>
                <w:rtl/>
              </w:rPr>
            </w:pPr>
          </w:p>
          <w:p w:rsidR="002914D6" w:rsidRPr="005B7874" w:rsidRDefault="00C13A26">
            <w:pPr>
              <w:rPr>
                <w:rFonts w:ascii="Arial" w:hAnsi="Arial"/>
                <w:b/>
                <w:bCs/>
                <w:noProof w:val="0"/>
                <w:sz w:val="28"/>
                <w:szCs w:val="28"/>
              </w:rPr>
            </w:pPr>
            <w:sdt>
              <w:sdtPr>
                <w:rPr>
                  <w:sz w:val="28"/>
                  <w:szCs w:val="28"/>
                  <w:rtl/>
                </w:rPr>
                <w:alias w:val="1184"/>
                <w:tag w:val="1184"/>
                <w:id w:val="1218863978"/>
                <w:text w:multiLine="1"/>
              </w:sdtPr>
              <w:sdtEndPr/>
              <w:sdtContent>
                <w:r w:rsidR="00BD18F5" w:rsidRPr="005B7874">
                  <w:rPr>
                    <w:rFonts w:ascii="Arial" w:hAnsi="Arial"/>
                    <w:b/>
                    <w:bCs/>
                    <w:noProof w:val="0"/>
                    <w:sz w:val="28"/>
                    <w:szCs w:val="28"/>
                    <w:rtl/>
                  </w:rPr>
                  <w:t>נתבעים</w:t>
                </w:r>
              </w:sdtContent>
            </w:sdt>
          </w:p>
        </w:tc>
        <w:tc>
          <w:tcPr>
            <w:tcW w:w="5571" w:type="dxa"/>
          </w:tcPr>
          <w:p w:rsidR="002914D6" w:rsidRPr="005B7874" w:rsidRDefault="00BD5B6B" w:rsidP="00224BD1">
            <w:pPr>
              <w:rPr>
                <w:b/>
                <w:bCs/>
                <w:noProof w:val="0"/>
                <w:sz w:val="28"/>
                <w:szCs w:val="28"/>
                <w:rtl/>
              </w:rPr>
            </w:pPr>
            <w:r w:rsidRPr="005B7874">
              <w:rPr>
                <w:b/>
                <w:bCs/>
                <w:noProof w:val="0"/>
                <w:sz w:val="28"/>
                <w:szCs w:val="28"/>
                <w:rtl/>
              </w:rPr>
              <w:t xml:space="preserve"> </w:t>
            </w:r>
            <w:sdt>
              <w:sdtPr>
                <w:rPr>
                  <w:b/>
                  <w:bCs/>
                  <w:noProof w:val="0"/>
                  <w:sz w:val="28"/>
                  <w:szCs w:val="28"/>
                  <w:rtl/>
                </w:rPr>
                <w:alias w:val="1571"/>
                <w:tag w:val="1571"/>
                <w:id w:val="715625760"/>
                <w:text w:multiLine="1"/>
              </w:sdtPr>
              <w:sdtEndPr/>
              <w:sdtContent>
                <w:r w:rsidRPr="005B7874">
                  <w:rPr>
                    <w:rStyle w:val="ac"/>
                    <w:b/>
                    <w:bCs/>
                    <w:color w:val="auto"/>
                    <w:sz w:val="28"/>
                    <w:szCs w:val="28"/>
                    <w:rtl/>
                  </w:rPr>
                  <w:t>2</w:t>
                </w:r>
              </w:sdtContent>
            </w:sdt>
            <w:r w:rsidRPr="005B7874">
              <w:rPr>
                <w:rFonts w:hint="cs"/>
                <w:b/>
                <w:bCs/>
                <w:noProof w:val="0"/>
                <w:sz w:val="28"/>
                <w:szCs w:val="28"/>
                <w:rtl/>
              </w:rPr>
              <w:t xml:space="preserve">. </w:t>
            </w:r>
            <w:sdt>
              <w:sdtPr>
                <w:rPr>
                  <w:rFonts w:hint="cs"/>
                  <w:b/>
                  <w:bCs/>
                  <w:noProof w:val="0"/>
                  <w:sz w:val="28"/>
                  <w:szCs w:val="28"/>
                  <w:rtl/>
                </w:rPr>
                <w:alias w:val="1486"/>
                <w:tag w:val="1486"/>
                <w:id w:val="-1492704729"/>
                <w:text w:multiLine="1"/>
              </w:sdtPr>
              <w:sdtEndPr/>
              <w:sdtContent>
                <w:r w:rsidRPr="005B7874">
                  <w:rPr>
                    <w:rStyle w:val="ac"/>
                    <w:b/>
                    <w:bCs/>
                    <w:color w:val="auto"/>
                    <w:sz w:val="28"/>
                    <w:szCs w:val="28"/>
                    <w:rtl/>
                  </w:rPr>
                  <w:t>פרקליטות מחוז תל אביב אזרחי</w:t>
                </w:r>
              </w:sdtContent>
            </w:sdt>
            <w:r w:rsidRPr="005B7874">
              <w:rPr>
                <w:rFonts w:hint="cs"/>
                <w:b/>
                <w:bCs/>
                <w:noProof w:val="0"/>
                <w:sz w:val="28"/>
                <w:szCs w:val="28"/>
                <w:rtl/>
              </w:rPr>
              <w:t xml:space="preserve"> </w:t>
            </w:r>
            <w:r w:rsidRPr="005B7874">
              <w:rPr>
                <w:b/>
                <w:bCs/>
                <w:noProof w:val="0"/>
                <w:sz w:val="28"/>
                <w:szCs w:val="28"/>
                <w:rtl/>
              </w:rPr>
              <w:t xml:space="preserve"> </w:t>
            </w:r>
            <w:sdt>
              <w:sdtPr>
                <w:rPr>
                  <w:b/>
                  <w:bCs/>
                  <w:noProof w:val="0"/>
                  <w:sz w:val="28"/>
                  <w:szCs w:val="28"/>
                  <w:rtl/>
                </w:rPr>
                <w:alias w:val="2318"/>
                <w:tag w:val="2318"/>
                <w:id w:val="-946693399"/>
                <w:text w:multiLine="1"/>
              </w:sdtPr>
              <w:sdtEndPr/>
              <w:sdtContent>
                <w:r w:rsidR="005B7874" w:rsidRPr="005B7874">
                  <w:rPr>
                    <w:b/>
                    <w:bCs/>
                    <w:noProof w:val="0"/>
                    <w:sz w:val="28"/>
                    <w:szCs w:val="28"/>
                    <w:rtl/>
                  </w:rPr>
                  <w:br/>
                </w:r>
                <w:r w:rsidR="005B7874" w:rsidRPr="005B7874">
                  <w:rPr>
                    <w:rFonts w:hint="cs"/>
                    <w:b/>
                    <w:bCs/>
                    <w:noProof w:val="0"/>
                    <w:sz w:val="28"/>
                    <w:szCs w:val="28"/>
                    <w:rtl/>
                  </w:rPr>
                  <w:t>באמצעות עו"ד  אורלי לוי מנצור</w:t>
                </w:r>
              </w:sdtContent>
            </w:sdt>
          </w:p>
          <w:p w:rsidR="002914D6" w:rsidRPr="005B7874" w:rsidRDefault="00BD5B6B" w:rsidP="00224BD1">
            <w:pPr>
              <w:rPr>
                <w:b/>
                <w:bCs/>
                <w:noProof w:val="0"/>
                <w:sz w:val="28"/>
                <w:szCs w:val="28"/>
                <w:rtl/>
              </w:rPr>
            </w:pPr>
            <w:r w:rsidRPr="005B7874">
              <w:rPr>
                <w:b/>
                <w:bCs/>
                <w:noProof w:val="0"/>
                <w:sz w:val="28"/>
                <w:szCs w:val="28"/>
                <w:rtl/>
              </w:rPr>
              <w:t xml:space="preserve"> </w:t>
            </w:r>
            <w:sdt>
              <w:sdtPr>
                <w:rPr>
                  <w:b/>
                  <w:bCs/>
                  <w:noProof w:val="0"/>
                  <w:sz w:val="28"/>
                  <w:szCs w:val="28"/>
                  <w:rtl/>
                </w:rPr>
                <w:alias w:val="1571"/>
                <w:tag w:val="1571"/>
                <w:id w:val="-1425335545"/>
                <w:text w:multiLine="1"/>
              </w:sdtPr>
              <w:sdtEndPr/>
              <w:sdtContent>
                <w:r w:rsidRPr="005B7874">
                  <w:rPr>
                    <w:rStyle w:val="ac"/>
                    <w:b/>
                    <w:bCs/>
                    <w:color w:val="auto"/>
                    <w:sz w:val="28"/>
                    <w:szCs w:val="28"/>
                    <w:rtl/>
                  </w:rPr>
                  <w:t>3</w:t>
                </w:r>
              </w:sdtContent>
            </w:sdt>
            <w:r w:rsidRPr="005B7874">
              <w:rPr>
                <w:rFonts w:hint="cs"/>
                <w:b/>
                <w:bCs/>
                <w:noProof w:val="0"/>
                <w:sz w:val="28"/>
                <w:szCs w:val="28"/>
                <w:rtl/>
              </w:rPr>
              <w:t xml:space="preserve">. </w:t>
            </w:r>
            <w:sdt>
              <w:sdtPr>
                <w:rPr>
                  <w:rFonts w:hint="cs"/>
                  <w:b/>
                  <w:bCs/>
                  <w:noProof w:val="0"/>
                  <w:sz w:val="28"/>
                  <w:szCs w:val="28"/>
                  <w:rtl/>
                </w:rPr>
                <w:alias w:val="1486"/>
                <w:tag w:val="1486"/>
                <w:id w:val="892015258"/>
                <w:text w:multiLine="1"/>
              </w:sdtPr>
              <w:sdtEndPr/>
              <w:sdtContent>
                <w:r w:rsidR="00224BD1">
                  <w:rPr>
                    <w:rStyle w:val="ac"/>
                    <w:rFonts w:hint="cs"/>
                    <w:b/>
                    <w:bCs/>
                    <w:color w:val="auto"/>
                    <w:sz w:val="28"/>
                    <w:szCs w:val="28"/>
                    <w:rtl/>
                  </w:rPr>
                  <w:t>שירותי</w:t>
                </w:r>
                <w:r w:rsidRPr="005B7874">
                  <w:rPr>
                    <w:rStyle w:val="ac"/>
                    <w:b/>
                    <w:bCs/>
                    <w:color w:val="auto"/>
                    <w:sz w:val="28"/>
                    <w:szCs w:val="28"/>
                    <w:rtl/>
                  </w:rPr>
                  <w:t xml:space="preserve"> </w:t>
                </w:r>
                <w:r w:rsidR="00224BD1">
                  <w:rPr>
                    <w:rStyle w:val="ac"/>
                    <w:rFonts w:hint="cs"/>
                    <w:b/>
                    <w:bCs/>
                    <w:color w:val="auto"/>
                    <w:sz w:val="28"/>
                    <w:szCs w:val="28"/>
                    <w:rtl/>
                  </w:rPr>
                  <w:t xml:space="preserve">בריאות </w:t>
                </w:r>
                <w:r w:rsidRPr="005B7874">
                  <w:rPr>
                    <w:rStyle w:val="ac"/>
                    <w:b/>
                    <w:bCs/>
                    <w:color w:val="auto"/>
                    <w:sz w:val="28"/>
                    <w:szCs w:val="28"/>
                    <w:rtl/>
                  </w:rPr>
                  <w:t xml:space="preserve">כללית מרכז רפואי </w:t>
                </w:r>
                <w:r w:rsidR="00224BD1">
                  <w:rPr>
                    <w:rStyle w:val="ac"/>
                    <w:rFonts w:hint="cs"/>
                    <w:b/>
                    <w:bCs/>
                    <w:color w:val="auto"/>
                    <w:sz w:val="28"/>
                    <w:szCs w:val="28"/>
                    <w:rtl/>
                  </w:rPr>
                  <w:t>....</w:t>
                </w:r>
                <w:r w:rsidRPr="005B7874">
                  <w:rPr>
                    <w:rStyle w:val="ac"/>
                    <w:b/>
                    <w:bCs/>
                    <w:color w:val="auto"/>
                    <w:sz w:val="28"/>
                    <w:szCs w:val="28"/>
                    <w:rtl/>
                  </w:rPr>
                  <w:t xml:space="preserve"> </w:t>
                </w:r>
              </w:sdtContent>
            </w:sdt>
            <w:r w:rsidRPr="005B7874">
              <w:rPr>
                <w:rFonts w:hint="cs"/>
                <w:b/>
                <w:bCs/>
                <w:noProof w:val="0"/>
                <w:sz w:val="28"/>
                <w:szCs w:val="28"/>
                <w:rtl/>
              </w:rPr>
              <w:t xml:space="preserve"> </w:t>
            </w:r>
            <w:r w:rsidRPr="005B7874">
              <w:rPr>
                <w:b/>
                <w:bCs/>
                <w:noProof w:val="0"/>
                <w:sz w:val="28"/>
                <w:szCs w:val="28"/>
                <w:rtl/>
              </w:rPr>
              <w:t xml:space="preserve"> </w:t>
            </w:r>
            <w:sdt>
              <w:sdtPr>
                <w:rPr>
                  <w:b/>
                  <w:bCs/>
                  <w:noProof w:val="0"/>
                  <w:sz w:val="28"/>
                  <w:szCs w:val="28"/>
                  <w:rtl/>
                </w:rPr>
                <w:alias w:val="2318"/>
                <w:tag w:val="2318"/>
                <w:id w:val="-1996013268"/>
                <w:text w:multiLine="1"/>
              </w:sdtPr>
              <w:sdtEndPr/>
              <w:sdtContent>
                <w:r w:rsidR="005B7874" w:rsidRPr="005B7874">
                  <w:rPr>
                    <w:b/>
                    <w:bCs/>
                    <w:noProof w:val="0"/>
                    <w:sz w:val="28"/>
                    <w:szCs w:val="28"/>
                    <w:rtl/>
                  </w:rPr>
                  <w:br/>
                </w:r>
                <w:r w:rsidR="005B7874" w:rsidRPr="005B7874">
                  <w:rPr>
                    <w:rFonts w:hint="cs"/>
                    <w:b/>
                    <w:bCs/>
                    <w:noProof w:val="0"/>
                    <w:sz w:val="28"/>
                    <w:szCs w:val="28"/>
                    <w:rtl/>
                  </w:rPr>
                  <w:t>באמצעות עו"ד ישראל שוויצר</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5B7874" w:rsidRDefault="005B7874" w:rsidP="005B7874">
      <w:pPr>
        <w:rPr>
          <w:rtl/>
        </w:rPr>
      </w:pPr>
    </w:p>
    <w:p w:rsidR="005B7874" w:rsidRDefault="005B7874" w:rsidP="005B7874">
      <w:pPr>
        <w:rPr>
          <w:rtl/>
        </w:rPr>
      </w:pPr>
      <w:r>
        <w:rPr>
          <w:rtl/>
        </w:rPr>
        <w:t>בהליך שלפני עותרים התובעים למתן צו לעשיית שימוש בביצית של נפטרת.</w:t>
      </w:r>
    </w:p>
    <w:p w:rsidR="00F40FAD" w:rsidRDefault="00F40FAD" w:rsidP="005B7874">
      <w:pPr>
        <w:rPr>
          <w:rtl/>
        </w:rPr>
      </w:pPr>
    </w:p>
    <w:p w:rsidR="005B7874" w:rsidRDefault="005B7874" w:rsidP="005B7874">
      <w:pPr>
        <w:rPr>
          <w:rtl/>
        </w:rPr>
      </w:pPr>
    </w:p>
    <w:p w:rsidR="005B7874" w:rsidRPr="005B7874" w:rsidRDefault="005B7874" w:rsidP="005B7874">
      <w:pPr>
        <w:jc w:val="both"/>
        <w:rPr>
          <w:rFonts w:ascii="David" w:hAnsi="David"/>
          <w:b/>
          <w:bCs/>
          <w:sz w:val="28"/>
          <w:szCs w:val="28"/>
          <w:rtl/>
        </w:rPr>
      </w:pPr>
      <w:r w:rsidRPr="005B7874">
        <w:rPr>
          <w:rFonts w:ascii="David" w:hAnsi="David"/>
          <w:b/>
          <w:bCs/>
          <w:sz w:val="28"/>
          <w:szCs w:val="28"/>
          <w:rtl/>
        </w:rPr>
        <w:t>רקע עובדתי</w:t>
      </w:r>
    </w:p>
    <w:p w:rsidR="005B7874" w:rsidRDefault="005B7874" w:rsidP="005B7874">
      <w:pPr>
        <w:jc w:val="both"/>
        <w:rPr>
          <w:rFonts w:ascii="David" w:hAnsi="David"/>
          <w:b/>
          <w:bCs/>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עסקינן במקרה טראגי, עת תכניותיהם של זוג צעיר לעתיד משותף ולהקמת משפחה נגדעו באחת. אלא שהתובע </w:t>
      </w:r>
      <w:r w:rsidR="00224BD1">
        <w:rPr>
          <w:rFonts w:ascii="David" w:hAnsi="David" w:cs="David" w:hint="cs"/>
          <w:sz w:val="24"/>
          <w:szCs w:val="24"/>
          <w:rtl/>
        </w:rPr>
        <w:t xml:space="preserve">1 </w:t>
      </w:r>
      <w:r>
        <w:rPr>
          <w:rFonts w:ascii="David" w:hAnsi="David" w:cs="David"/>
          <w:sz w:val="24"/>
          <w:szCs w:val="24"/>
          <w:rtl/>
        </w:rPr>
        <w:t>שם לעצמו, בתמיכת הורי בת זוגו המנוחה, למטרה להגשים משאלתה האחרונה של בת זוגו ולפעול להבאת ילדים משותפים לעולם.</w:t>
      </w:r>
    </w:p>
    <w:p w:rsidR="005B7874" w:rsidRDefault="005B7874" w:rsidP="005B7874">
      <w:pPr>
        <w:pStyle w:val="ad"/>
        <w:spacing w:line="360" w:lineRule="auto"/>
        <w:jc w:val="both"/>
        <w:rPr>
          <w:rFonts w:ascii="David" w:hAnsi="David" w:cs="David"/>
          <w:sz w:val="24"/>
          <w:szCs w:val="24"/>
        </w:rPr>
      </w:pPr>
    </w:p>
    <w:p w:rsidR="005B7874" w:rsidRDefault="005B7874" w:rsidP="00224BD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1 הינו בן זוגה של המנוחה </w:t>
      </w:r>
      <w:r w:rsidR="00224BD1">
        <w:rPr>
          <w:rFonts w:ascii="David" w:hAnsi="David" w:cs="David" w:hint="cs"/>
          <w:sz w:val="24"/>
          <w:szCs w:val="24"/>
        </w:rPr>
        <w:t>XXX</w:t>
      </w:r>
      <w:r>
        <w:rPr>
          <w:rFonts w:ascii="David" w:hAnsi="David" w:cs="David"/>
          <w:sz w:val="24"/>
          <w:szCs w:val="24"/>
          <w:rtl/>
        </w:rPr>
        <w:t xml:space="preserve"> ז"ל (להלן "</w:t>
      </w:r>
      <w:r>
        <w:rPr>
          <w:rFonts w:ascii="David" w:hAnsi="David" w:cs="David"/>
          <w:b/>
          <w:bCs/>
          <w:sz w:val="24"/>
          <w:szCs w:val="24"/>
          <w:rtl/>
        </w:rPr>
        <w:t>המנוחה</w:t>
      </w:r>
      <w:r>
        <w:rPr>
          <w:rFonts w:ascii="David" w:hAnsi="David" w:cs="David"/>
          <w:sz w:val="24"/>
          <w:szCs w:val="24"/>
          <w:rtl/>
        </w:rPr>
        <w:t>").</w:t>
      </w:r>
    </w:p>
    <w:p w:rsidR="005B7874" w:rsidRDefault="005B7874" w:rsidP="005B7874">
      <w:pPr>
        <w:spacing w:line="360" w:lineRule="auto"/>
        <w:ind w:firstLine="720"/>
        <w:jc w:val="both"/>
        <w:rPr>
          <w:rFonts w:ascii="David" w:hAnsi="David"/>
          <w:rtl/>
        </w:rPr>
      </w:pPr>
      <w:r>
        <w:rPr>
          <w:rFonts w:ascii="David" w:hAnsi="David"/>
          <w:rtl/>
        </w:rPr>
        <w:t>התובעים 2-3 הינם הוריה של המנוחה.</w:t>
      </w:r>
    </w:p>
    <w:p w:rsidR="005B7874" w:rsidRDefault="005B7874" w:rsidP="005B7874">
      <w:pPr>
        <w:spacing w:line="360" w:lineRule="auto"/>
        <w:ind w:firstLine="720"/>
        <w:jc w:val="both"/>
        <w:rPr>
          <w:rFonts w:ascii="David" w:hAnsi="David"/>
          <w:rtl/>
        </w:rPr>
      </w:pPr>
      <w:r>
        <w:rPr>
          <w:rFonts w:ascii="David" w:hAnsi="David"/>
          <w:rtl/>
        </w:rPr>
        <w:t>הנתבע 1 הינו בית החולים שם טופלה המנוחה והמחזיק בביציותיה של המנוחה.</w:t>
      </w:r>
    </w:p>
    <w:p w:rsidR="000E05DB" w:rsidRDefault="000E05DB" w:rsidP="005B7874">
      <w:pPr>
        <w:spacing w:line="360" w:lineRule="auto"/>
        <w:ind w:firstLine="720"/>
        <w:jc w:val="both"/>
        <w:rPr>
          <w:rFonts w:ascii="David" w:hAnsi="David"/>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1, בן 31, והמנוחה הכירו בחודש מאי 2020 וקשרו, בקשר עמוק וייחודי</w:t>
      </w:r>
      <w:r w:rsidR="000E05DB">
        <w:rPr>
          <w:rFonts w:ascii="David" w:hAnsi="David" w:cs="David" w:hint="cs"/>
          <w:sz w:val="24"/>
          <w:szCs w:val="24"/>
          <w:rtl/>
        </w:rPr>
        <w:t xml:space="preserve"> ובאהבת אמת</w:t>
      </w:r>
      <w:r>
        <w:rPr>
          <w:rFonts w:ascii="David" w:hAnsi="David" w:cs="David"/>
          <w:sz w:val="24"/>
          <w:szCs w:val="24"/>
          <w:rtl/>
        </w:rPr>
        <w:t>, את גורלם יחד, עברו לגור יחדיו ואף תכננו להינשא ולהביא ילדים.</w:t>
      </w:r>
    </w:p>
    <w:p w:rsidR="005B7874" w:rsidRDefault="005B7874" w:rsidP="005B7874">
      <w:pPr>
        <w:spacing w:line="360" w:lineRule="auto"/>
        <w:ind w:left="720"/>
        <w:jc w:val="both"/>
        <w:rPr>
          <w:rFonts w:ascii="David" w:hAnsi="David"/>
          <w:rtl/>
        </w:rPr>
      </w:pPr>
      <w:r>
        <w:rPr>
          <w:rFonts w:ascii="David" w:hAnsi="David"/>
          <w:rtl/>
        </w:rPr>
        <w:t xml:space="preserve">למרבה הצער, סמוך לאחר היכרותם אובחנה מחלת הסרטן מסוג לימפומה הודג'קין אצל המנוחה. </w:t>
      </w:r>
    </w:p>
    <w:p w:rsidR="005B7874" w:rsidRDefault="005B7874" w:rsidP="005B7874">
      <w:pPr>
        <w:spacing w:line="360" w:lineRule="auto"/>
        <w:ind w:left="720"/>
        <w:jc w:val="both"/>
        <w:rPr>
          <w:rFonts w:ascii="David" w:hAnsi="David"/>
          <w:rtl/>
        </w:rPr>
      </w:pPr>
      <w:r>
        <w:rPr>
          <w:rFonts w:ascii="David" w:hAnsi="David"/>
          <w:rtl/>
        </w:rPr>
        <w:t>במקביל לאהבה, אשר הלכה והתעצמה בין בני הזוג, מצבה הרפואי של המנוחה הלך והדרדר.</w:t>
      </w:r>
    </w:p>
    <w:p w:rsidR="005B7874" w:rsidRDefault="005B7874" w:rsidP="005B7874">
      <w:pPr>
        <w:spacing w:line="360" w:lineRule="auto"/>
        <w:ind w:left="720"/>
        <w:jc w:val="both"/>
        <w:rPr>
          <w:rFonts w:ascii="David" w:hAnsi="David"/>
          <w:rtl/>
        </w:rPr>
      </w:pPr>
      <w:r>
        <w:rPr>
          <w:rFonts w:ascii="David" w:hAnsi="David"/>
          <w:rtl/>
        </w:rPr>
        <w:t>בחודש דצמבר 2020 עברה המנוחה ניתוח לכריתת שחלה, אשר במהלכו הצליחו הרופאים לחלץ שתי ביציות מרחמה</w:t>
      </w:r>
      <w:r w:rsidR="00D45D3A">
        <w:rPr>
          <w:rFonts w:ascii="David" w:hAnsi="David" w:hint="cs"/>
          <w:rtl/>
        </w:rPr>
        <w:t xml:space="preserve"> לצורך שימור פוריות</w:t>
      </w:r>
      <w:r>
        <w:rPr>
          <w:rFonts w:ascii="David" w:hAnsi="David"/>
          <w:rtl/>
        </w:rPr>
        <w:t>. ביציות אלו הוקפאו לצרכי שימוש עתידי על ידי המנוחה.</w:t>
      </w:r>
    </w:p>
    <w:p w:rsidR="005C25A8" w:rsidRDefault="005C25A8" w:rsidP="005B7874">
      <w:pPr>
        <w:spacing w:line="360" w:lineRule="auto"/>
        <w:ind w:left="720"/>
        <w:jc w:val="both"/>
        <w:rPr>
          <w:rFonts w:ascii="David" w:hAnsi="David"/>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בחודש יוני 2021, בעת שהותה של המנוחה בבית החולים לקראת ניתוח השתלת מח עצם, הביעה המנוחה את חששה מפני המוות וביקש</w:t>
      </w:r>
      <w:r w:rsidR="00224BD1">
        <w:rPr>
          <w:rFonts w:ascii="David" w:hAnsi="David" w:cs="David"/>
          <w:sz w:val="24"/>
          <w:szCs w:val="24"/>
          <w:rtl/>
        </w:rPr>
        <w:t xml:space="preserve">ה מאביה, בנוכחות פרופסור </w:t>
      </w:r>
      <w:r w:rsidR="00224BD1">
        <w:rPr>
          <w:rFonts w:ascii="David" w:hAnsi="David" w:cs="David" w:hint="cs"/>
          <w:sz w:val="24"/>
          <w:szCs w:val="24"/>
        </w:rPr>
        <w:t>XXX</w:t>
      </w:r>
      <w:r>
        <w:rPr>
          <w:rFonts w:ascii="David" w:hAnsi="David" w:cs="David"/>
          <w:sz w:val="24"/>
          <w:szCs w:val="24"/>
          <w:rtl/>
        </w:rPr>
        <w:t>, כי באם תלך לעולמה, ייעשה שימוש בביציותיה על מנת להביא ילדים לעולם עם התובע 1.</w:t>
      </w:r>
    </w:p>
    <w:p w:rsidR="005B7874" w:rsidRDefault="005B7874" w:rsidP="005B7874">
      <w:pPr>
        <w:spacing w:line="360" w:lineRule="auto"/>
        <w:ind w:firstLine="720"/>
        <w:jc w:val="both"/>
        <w:rPr>
          <w:rFonts w:ascii="David" w:hAnsi="David"/>
          <w:rtl/>
        </w:rPr>
      </w:pPr>
      <w:r>
        <w:rPr>
          <w:rFonts w:ascii="David" w:hAnsi="David"/>
          <w:rtl/>
        </w:rPr>
        <w:t>למחרת היום הביעה המנוחה את רצונה זה אף בפני התובע 1. התובע הבטיח למנוחה כי</w:t>
      </w:r>
    </w:p>
    <w:p w:rsidR="005B7874" w:rsidRDefault="005B7874" w:rsidP="005B7874">
      <w:pPr>
        <w:spacing w:line="360" w:lineRule="auto"/>
        <w:ind w:firstLine="720"/>
        <w:jc w:val="both"/>
        <w:rPr>
          <w:rFonts w:ascii="David" w:hAnsi="David"/>
          <w:rtl/>
        </w:rPr>
      </w:pPr>
      <w:r>
        <w:rPr>
          <w:rFonts w:ascii="David" w:hAnsi="David"/>
          <w:rtl/>
        </w:rPr>
        <w:t xml:space="preserve"> יעשה כל שביכולתו על מנת למלא את משאלתה.</w:t>
      </w:r>
    </w:p>
    <w:p w:rsidR="005C25A8" w:rsidRDefault="005C25A8" w:rsidP="005C25A8">
      <w:pPr>
        <w:spacing w:line="360" w:lineRule="auto"/>
        <w:jc w:val="both"/>
        <w:rPr>
          <w:rFonts w:ascii="David" w:hAnsi="David"/>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28.10.2021 הלכה המנוחה לבית עולמה והיא בת 28 שנים בלבד.</w:t>
      </w:r>
    </w:p>
    <w:p w:rsidR="005B7874" w:rsidRDefault="005B7874" w:rsidP="005B7874">
      <w:pPr>
        <w:pStyle w:val="ad"/>
        <w:spacing w:line="360" w:lineRule="auto"/>
        <w:jc w:val="both"/>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כעת עותר התובע 1, יחד עם הורי המנוחה, לעשות שימוש בביציותיה המוקפאות של המנוחה באופן בו הביצית תופרה בזרעו שלו, לצורך הבאת ילדים משותפים לעולם באמצעות אם פונדקאית.</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 1 – בית החולים הודיע כי הינו מנוע מהבעת דעה בדבר עתידן של ביציות המנוחה, פרט להותרת הבקשה לשיקול דעתו של בית המשפט וכי יכבד כל החלטה שתינתן.</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ב"כ היועמ"ש- הנתבעת 2, במסגרת כתב ההגנה אשר הוגש ביום 28.2.2023, סקרה בהרחבה את המצב המשפטי כיום</w:t>
      </w:r>
      <w:r w:rsidR="006F597A">
        <w:rPr>
          <w:rFonts w:ascii="David" w:hAnsi="David" w:cs="David" w:hint="cs"/>
          <w:sz w:val="24"/>
          <w:szCs w:val="24"/>
          <w:rtl/>
        </w:rPr>
        <w:t xml:space="preserve"> בסוגיה זו</w:t>
      </w:r>
      <w:r>
        <w:rPr>
          <w:rFonts w:ascii="David" w:hAnsi="David" w:cs="David"/>
          <w:sz w:val="24"/>
          <w:szCs w:val="24"/>
          <w:rtl/>
        </w:rPr>
        <w:t xml:space="preserve"> ועתרה למתן צו לעריכת תסקיר, אשר לאחריו תשלים עמדתה ביחס להליך דנן.</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14.5.2023 הוגש תסקיר עו"ס לחוק האימוץ.</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הגשת התסקיר הוגשו עמדות הצדדים באשר להמלצותיו וביום 15.6.2023 התקיים דיון בנוכחות הצדדים.</w:t>
      </w:r>
    </w:p>
    <w:p w:rsidR="005C25A8" w:rsidRPr="005C25A8" w:rsidRDefault="005C25A8" w:rsidP="005C25A8">
      <w:pPr>
        <w:spacing w:line="360" w:lineRule="auto"/>
        <w:jc w:val="both"/>
        <w:rPr>
          <w:rFonts w:ascii="David" w:hAnsi="David"/>
          <w:rtl/>
        </w:rPr>
      </w:pPr>
    </w:p>
    <w:p w:rsidR="005B7874" w:rsidRPr="00A141A7" w:rsidRDefault="005B7874" w:rsidP="005B7874">
      <w:pPr>
        <w:spacing w:line="360" w:lineRule="auto"/>
        <w:jc w:val="both"/>
        <w:rPr>
          <w:rFonts w:ascii="David" w:hAnsi="David"/>
          <w:b/>
          <w:bCs/>
          <w:sz w:val="28"/>
          <w:szCs w:val="28"/>
          <w:rtl/>
        </w:rPr>
      </w:pPr>
      <w:r w:rsidRPr="00A141A7">
        <w:rPr>
          <w:rFonts w:ascii="David" w:hAnsi="David"/>
          <w:b/>
          <w:bCs/>
          <w:sz w:val="28"/>
          <w:szCs w:val="28"/>
          <w:rtl/>
        </w:rPr>
        <w:t>טענות התובעים בתמצית</w:t>
      </w:r>
    </w:p>
    <w:p w:rsidR="00A141A7" w:rsidRDefault="00A141A7" w:rsidP="005B7874">
      <w:pPr>
        <w:spacing w:line="360" w:lineRule="auto"/>
        <w:jc w:val="both"/>
        <w:rPr>
          <w:rFonts w:ascii="David" w:hAnsi="David"/>
          <w:b/>
          <w:bCs/>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והמנוחה קשרו חייהם יחד וביקשו להינשא ולהביא ילדים לעולם אך תכניות אלו נגדעו בטרם הספיקו השניים להגשימם.</w:t>
      </w:r>
    </w:p>
    <w:p w:rsidR="005B7874" w:rsidRDefault="005B7874" w:rsidP="005B7874">
      <w:pPr>
        <w:pStyle w:val="ad"/>
        <w:spacing w:line="360" w:lineRule="auto"/>
        <w:jc w:val="both"/>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יש לנהוג בעניין זה בהתאם לנהוג בכל הנוגע לשימוש בזרע של נפטר וזאת מכוח עיקרון השוויון.</w:t>
      </w:r>
    </w:p>
    <w:p w:rsidR="005B7874" w:rsidRDefault="005B7874" w:rsidP="005B7874">
      <w:pPr>
        <w:spacing w:line="360" w:lineRule="auto"/>
        <w:ind w:left="720"/>
        <w:jc w:val="both"/>
        <w:rPr>
          <w:rFonts w:ascii="David" w:hAnsi="David"/>
          <w:rtl/>
        </w:rPr>
      </w:pPr>
      <w:r>
        <w:rPr>
          <w:rFonts w:ascii="David" w:hAnsi="David"/>
          <w:rtl/>
        </w:rPr>
        <w:t xml:space="preserve">המנוחה הביעה את רצונה המפורש כי המבקש יעשה שימוש בביציותיה לצורך הבאת ילדים לעולם, בפני </w:t>
      </w:r>
      <w:r w:rsidR="00224BD1">
        <w:rPr>
          <w:rFonts w:ascii="David" w:hAnsi="David"/>
          <w:rtl/>
        </w:rPr>
        <w:t xml:space="preserve">התובע 1, אביה, ובפני ד"ר </w:t>
      </w:r>
      <w:r w:rsidR="00224BD1">
        <w:rPr>
          <w:rFonts w:ascii="David" w:hAnsi="David" w:hint="cs"/>
        </w:rPr>
        <w:t>XXX</w:t>
      </w:r>
      <w:r>
        <w:rPr>
          <w:rFonts w:ascii="David" w:hAnsi="David"/>
          <w:rtl/>
        </w:rPr>
        <w:t xml:space="preserve">, אשר אף הגיש תצהיר בעניין זה. מכאן שלא </w:t>
      </w:r>
      <w:r>
        <w:rPr>
          <w:rFonts w:ascii="David" w:hAnsi="David"/>
          <w:rtl/>
        </w:rPr>
        <w:lastRenderedPageBreak/>
        <w:t>יכול להיות ספק ברצונה של המנוחה כי התובע 1 יעשה שימוש בביציותיה</w:t>
      </w:r>
      <w:r w:rsidR="006F597A">
        <w:rPr>
          <w:rFonts w:ascii="David" w:hAnsi="David" w:hint="cs"/>
          <w:rtl/>
        </w:rPr>
        <w:t xml:space="preserve"> לצורך הבאת ילדים</w:t>
      </w:r>
      <w:r>
        <w:rPr>
          <w:rFonts w:ascii="David" w:hAnsi="David"/>
          <w:rtl/>
        </w:rPr>
        <w:t>.</w:t>
      </w:r>
    </w:p>
    <w:p w:rsidR="00A141A7" w:rsidRDefault="00A141A7" w:rsidP="005B7874">
      <w:pPr>
        <w:spacing w:line="360" w:lineRule="auto"/>
        <w:jc w:val="both"/>
        <w:rPr>
          <w:rFonts w:ascii="David" w:hAnsi="David"/>
          <w:b/>
          <w:bCs/>
          <w:rtl/>
        </w:rPr>
      </w:pPr>
    </w:p>
    <w:p w:rsidR="005B7874" w:rsidRDefault="005B7874" w:rsidP="005B7874">
      <w:pPr>
        <w:spacing w:line="360" w:lineRule="auto"/>
        <w:jc w:val="both"/>
        <w:rPr>
          <w:rFonts w:ascii="David" w:hAnsi="David"/>
          <w:b/>
          <w:bCs/>
          <w:sz w:val="28"/>
          <w:szCs w:val="28"/>
          <w:rtl/>
        </w:rPr>
      </w:pPr>
      <w:r w:rsidRPr="00A141A7">
        <w:rPr>
          <w:rFonts w:ascii="David" w:hAnsi="David"/>
          <w:b/>
          <w:bCs/>
          <w:sz w:val="28"/>
          <w:szCs w:val="28"/>
          <w:rtl/>
        </w:rPr>
        <w:t>טענות ב"כ היועמ"ש לממשלה בתמצית</w:t>
      </w:r>
    </w:p>
    <w:p w:rsidR="00A141A7" w:rsidRPr="00A141A7" w:rsidRDefault="00A141A7" w:rsidP="005B7874">
      <w:pPr>
        <w:spacing w:line="360" w:lineRule="auto"/>
        <w:jc w:val="both"/>
        <w:rPr>
          <w:rFonts w:ascii="David" w:hAnsi="David"/>
          <w:b/>
          <w:bCs/>
          <w:sz w:val="28"/>
          <w:szCs w:val="28"/>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המדובר במקרה תקדימי, אשר במסגרתו מתבקש שימוש בביציות של נפטרת על ידי בן זוגה. עסקינן בסיטואציה מורכבת המערבת סוגיות ושאלות מתחומים שונים. כך למשל, הפיצול בין האם הנושאת והיולדת לבין בעלת הביצית עשוי ליצור תחרות בין שתי אימהות פוטנציאליות, שאלה אשר אינה מוסדרת בחקיקה הקיימת בישראל ואף טרם הוכרעה בפסיקה. משכך על סוגיה זו להיות מסודרת ראשית בחקיקה, במסגרתה תיערך בחינה מקיפה ותינתן התייחסות למכלול הסוגיות וההשלכות העולות בסיטואציה שכזו.</w:t>
      </w:r>
    </w:p>
    <w:p w:rsidR="005B7874" w:rsidRDefault="005B7874" w:rsidP="005B7874">
      <w:pPr>
        <w:pStyle w:val="ad"/>
        <w:spacing w:line="360" w:lineRule="auto"/>
        <w:jc w:val="both"/>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עם זאת, וחרף האמור לעיל, לצורך בחינת הבקשה הקונקרטית המתעוררת בהליך זה, יש לבחון את הבקשה בראי החקיקה הקיימת: </w:t>
      </w:r>
      <w:r w:rsidRPr="005C25A8">
        <w:rPr>
          <w:rFonts w:ascii="David" w:hAnsi="David" w:cs="David"/>
          <w:b/>
          <w:bCs/>
          <w:sz w:val="24"/>
          <w:szCs w:val="24"/>
          <w:rtl/>
        </w:rPr>
        <w:t>חוק תרומת ביציות התש"ע – 2010 ; תקנות בריאות העם (הפריה חוץ גופית) התשמ"ז – 1987</w:t>
      </w:r>
      <w:r>
        <w:rPr>
          <w:rFonts w:ascii="David" w:hAnsi="David" w:cs="David"/>
          <w:sz w:val="24"/>
          <w:szCs w:val="24"/>
          <w:rtl/>
        </w:rPr>
        <w:t xml:space="preserve"> (להלן גם </w:t>
      </w:r>
      <w:r w:rsidRPr="005C25A8">
        <w:rPr>
          <w:rFonts w:ascii="David" w:hAnsi="David" w:cs="David"/>
          <w:b/>
          <w:bCs/>
          <w:sz w:val="24"/>
          <w:szCs w:val="24"/>
          <w:rtl/>
        </w:rPr>
        <w:t>: "תקנות בריאות העם</w:t>
      </w:r>
      <w:r>
        <w:rPr>
          <w:rFonts w:ascii="David" w:hAnsi="David" w:cs="David"/>
          <w:sz w:val="24"/>
          <w:szCs w:val="24"/>
          <w:rtl/>
        </w:rPr>
        <w:t xml:space="preserve">") ; </w:t>
      </w:r>
      <w:r w:rsidRPr="005C25A8">
        <w:rPr>
          <w:rFonts w:ascii="David" w:hAnsi="David" w:cs="David"/>
          <w:b/>
          <w:bCs/>
          <w:sz w:val="24"/>
          <w:szCs w:val="24"/>
          <w:rtl/>
        </w:rPr>
        <w:t>חוק הסכמים לנשיאת עוברים (אישור הסכם ומעמד היילוד) תשנ"ו-1996</w:t>
      </w:r>
      <w:r>
        <w:rPr>
          <w:rFonts w:ascii="David" w:hAnsi="David" w:cs="David"/>
          <w:sz w:val="24"/>
          <w:szCs w:val="24"/>
          <w:rtl/>
        </w:rPr>
        <w:t xml:space="preserve"> (להלן גם: "</w:t>
      </w:r>
      <w:r w:rsidRPr="005C25A8">
        <w:rPr>
          <w:rFonts w:ascii="David" w:hAnsi="David" w:cs="David"/>
          <w:b/>
          <w:bCs/>
          <w:sz w:val="24"/>
          <w:szCs w:val="24"/>
          <w:rtl/>
        </w:rPr>
        <w:t>חוק הפונדקאות"</w:t>
      </w:r>
      <w:r>
        <w:rPr>
          <w:rFonts w:ascii="David" w:hAnsi="David" w:cs="David"/>
          <w:sz w:val="24"/>
          <w:szCs w:val="24"/>
          <w:rtl/>
        </w:rPr>
        <w:t xml:space="preserve">); </w:t>
      </w:r>
      <w:r w:rsidRPr="005C25A8">
        <w:rPr>
          <w:rFonts w:ascii="David" w:hAnsi="David" w:cs="David"/>
          <w:b/>
          <w:bCs/>
          <w:sz w:val="24"/>
          <w:szCs w:val="24"/>
          <w:rtl/>
        </w:rPr>
        <w:t>הנחיות היועמ"ש לממשלה מספר 1.2202</w:t>
      </w:r>
      <w:r>
        <w:rPr>
          <w:rFonts w:ascii="David" w:hAnsi="David" w:cs="David"/>
          <w:sz w:val="24"/>
          <w:szCs w:val="24"/>
          <w:rtl/>
        </w:rPr>
        <w:t xml:space="preserve"> בנושא נטילת זרע לאחר המוות והשימוש בו.</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בדומה לסוגית השימוש בזרע של נפטר, הציר המרכזי והשיקול המכריע בבקשה שבנדון הוא כיבוד רצונו של הנפטר</w:t>
      </w:r>
      <w:r w:rsidR="006F597A">
        <w:rPr>
          <w:rFonts w:ascii="David" w:hAnsi="David" w:cs="David" w:hint="cs"/>
          <w:sz w:val="24"/>
          <w:szCs w:val="24"/>
          <w:rtl/>
        </w:rPr>
        <w:t>ת</w:t>
      </w:r>
      <w:r>
        <w:rPr>
          <w:rFonts w:ascii="David" w:hAnsi="David" w:cs="David"/>
          <w:sz w:val="24"/>
          <w:szCs w:val="24"/>
          <w:rtl/>
        </w:rPr>
        <w:t xml:space="preserve"> כנגזרת מהזכות לאוטונומיה של הפרט. ככל שנית</w:t>
      </w:r>
      <w:r w:rsidR="00224BD1">
        <w:rPr>
          <w:rFonts w:ascii="David" w:hAnsi="David" w:cs="David"/>
          <w:sz w:val="24"/>
          <w:szCs w:val="24"/>
          <w:rtl/>
        </w:rPr>
        <w:t xml:space="preserve">ן לראות בתצהירו של פרופ' </w:t>
      </w:r>
      <w:r w:rsidR="00224BD1">
        <w:rPr>
          <w:rFonts w:ascii="David" w:hAnsi="David" w:cs="David" w:hint="cs"/>
          <w:sz w:val="24"/>
          <w:szCs w:val="24"/>
        </w:rPr>
        <w:t>XXX</w:t>
      </w:r>
      <w:r>
        <w:rPr>
          <w:rFonts w:ascii="David" w:hAnsi="David" w:cs="David"/>
          <w:sz w:val="24"/>
          <w:szCs w:val="24"/>
          <w:rtl/>
        </w:rPr>
        <w:t xml:space="preserve"> כמענה לדרישת הכתב, כאמור בחוק תרומת ביציות ובפקודת בריאות העם, הרי שבנסיבותיו הקונקרטיות של הסכם זה נתמלאה דרישת הכתב.</w:t>
      </w:r>
    </w:p>
    <w:p w:rsidR="005B7874" w:rsidRDefault="005B7874" w:rsidP="005B7874">
      <w:pPr>
        <w:pStyle w:val="ad"/>
        <w:rPr>
          <w:rFonts w:ascii="David" w:hAnsi="David" w:cs="David"/>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אף האמור לעיל, יש לאבחן בין שימוש בזרע של נפטר לבין השימוש בביציותיה של נפטרת. שכן, במקרה השני נדרשת אישה נוספת על מנת לשאת את ההריון ולהביא את הילד לעולם, עובדה אשר, כאמור, עשויה להעלות שאלות אשר טרם קיבלו מענה בחקיקה ובפסיקה.</w:t>
      </w:r>
    </w:p>
    <w:p w:rsidR="005B7874" w:rsidRDefault="005B7874" w:rsidP="005B7874">
      <w:pPr>
        <w:pStyle w:val="ad"/>
        <w:rPr>
          <w:rFonts w:ascii="David" w:hAnsi="David" w:cs="David"/>
          <w:sz w:val="24"/>
          <w:szCs w:val="24"/>
          <w:rtl/>
        </w:rPr>
      </w:pPr>
    </w:p>
    <w:p w:rsidR="005B7874" w:rsidRDefault="005B7874" w:rsidP="005B7874">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לאחר הגשת התסקיר הודיע ב"כ היועמ"ש לממשלה כי לאור המלצת התסקיר, וככל שבית המשפט י</w:t>
      </w:r>
      <w:r w:rsidR="00224BD1">
        <w:rPr>
          <w:rFonts w:ascii="David" w:hAnsi="David" w:cs="David"/>
          <w:sz w:val="24"/>
          <w:szCs w:val="24"/>
          <w:rtl/>
        </w:rPr>
        <w:t xml:space="preserve">שתכנע כי תצהירו של פרופ' </w:t>
      </w:r>
      <w:r w:rsidR="00224BD1">
        <w:rPr>
          <w:rFonts w:ascii="David" w:hAnsi="David" w:cs="David" w:hint="cs"/>
          <w:sz w:val="24"/>
          <w:szCs w:val="24"/>
        </w:rPr>
        <w:t>XXX</w:t>
      </w:r>
      <w:r>
        <w:rPr>
          <w:rFonts w:ascii="David" w:hAnsi="David" w:cs="David"/>
          <w:sz w:val="24"/>
          <w:szCs w:val="24"/>
          <w:rtl/>
        </w:rPr>
        <w:t xml:space="preserve"> מהווה מענה לדרישת הכתב, הרי שבנסיבות הקונקרטיות של מקרה זה, לא תתנגד ב"כ היועמ"ש לבקשה למתן צו למסירת ביציותיה של המנוחה לידי התובע 1, על מנת שיעשה בהן שימוש לצורך הבאת ילדים לעולם. אלא שהודגש כי </w:t>
      </w:r>
      <w:r>
        <w:rPr>
          <w:rFonts w:ascii="David" w:hAnsi="David" w:cs="David"/>
          <w:b/>
          <w:bCs/>
          <w:sz w:val="24"/>
          <w:szCs w:val="24"/>
          <w:rtl/>
        </w:rPr>
        <w:t xml:space="preserve">"עמדת ב"כ היועמ"ש נכונה לד' אמותיו של הנסיבות הספציפיות דנן, ואין בה כדי להכריע בשאלה העקרונית בדבר תחולת דברי החקיקה הנ"ל על מקרים נוספים ואין בה כדי לקבוע עמדה קונקלוסיבית מכאן ולהבא ולהתוות כללים בקשר למקרים אחרים </w:t>
      </w:r>
      <w:r>
        <w:rPr>
          <w:rFonts w:ascii="David" w:hAnsi="David" w:cs="David"/>
          <w:b/>
          <w:bCs/>
          <w:sz w:val="24"/>
          <w:szCs w:val="24"/>
          <w:rtl/>
        </w:rPr>
        <w:lastRenderedPageBreak/>
        <w:t>שעניינם שימוש בביציות של  נפטרת. לנוכח המורכבות הרבה הכרוכה בדבר, כל מקרה עתידי, יחייב בחינה וליבון לגופו, בשים לב למכלול נסיבותיו".</w:t>
      </w:r>
    </w:p>
    <w:p w:rsidR="005B7874" w:rsidRDefault="005B7874" w:rsidP="005B7874">
      <w:pPr>
        <w:pStyle w:val="ad"/>
        <w:rPr>
          <w:rFonts w:ascii="David" w:hAnsi="David" w:cs="David"/>
          <w:b/>
          <w:bCs/>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ב"כ היועמ"ש התייחסה בתגובתה למורכבות ולתהליכים הנוספים, אשר יהא על התובע 1 לבצע לאחר מתן הצו המתיר שימוש בביציות המנוחה (בין באמצעות פונדקאות בארץ ובין באמצעות פונדקאות בחו"ל). כאשר הובהר כי, ככל שבית המשפט ייעתר לבקשה וככל שהתובע 1 ייפנה להליך פונדקאות בישראל, יהא עליו לפעול בהתאם לתנאים הקבועים בחוק הפונדקאות.</w:t>
      </w:r>
    </w:p>
    <w:p w:rsidR="005B7874" w:rsidRDefault="005B7874" w:rsidP="00A141A7">
      <w:pPr>
        <w:pStyle w:val="ad"/>
        <w:spacing w:line="360" w:lineRule="auto"/>
        <w:rPr>
          <w:rFonts w:ascii="David" w:hAnsi="David" w:cs="David"/>
          <w:sz w:val="24"/>
          <w:szCs w:val="24"/>
        </w:rPr>
      </w:pPr>
    </w:p>
    <w:p w:rsidR="00F64555" w:rsidRDefault="005B7874" w:rsidP="00CD4AA3">
      <w:pPr>
        <w:pStyle w:val="ad"/>
        <w:numPr>
          <w:ilvl w:val="0"/>
          <w:numId w:val="1"/>
        </w:numPr>
        <w:spacing w:line="360" w:lineRule="auto"/>
        <w:jc w:val="both"/>
        <w:rPr>
          <w:rFonts w:ascii="David" w:hAnsi="David" w:cs="David"/>
          <w:sz w:val="24"/>
          <w:szCs w:val="24"/>
        </w:rPr>
      </w:pPr>
      <w:r w:rsidRPr="00CC41C5">
        <w:rPr>
          <w:rFonts w:ascii="David" w:hAnsi="David" w:cs="David"/>
          <w:sz w:val="24"/>
          <w:szCs w:val="24"/>
          <w:rtl/>
        </w:rPr>
        <w:t xml:space="preserve">ככל </w:t>
      </w:r>
      <w:r w:rsidR="00F64555" w:rsidRPr="00CC41C5">
        <w:rPr>
          <w:rFonts w:ascii="David" w:hAnsi="David" w:cs="David" w:hint="cs"/>
          <w:sz w:val="24"/>
          <w:szCs w:val="24"/>
          <w:rtl/>
        </w:rPr>
        <w:t xml:space="preserve">שהתובע 1 יבחר לבצע הליך פונדקאות בארץ וככל </w:t>
      </w:r>
      <w:r w:rsidRPr="00CC41C5">
        <w:rPr>
          <w:rFonts w:ascii="David" w:hAnsi="David" w:cs="David"/>
          <w:sz w:val="24"/>
          <w:szCs w:val="24"/>
          <w:rtl/>
        </w:rPr>
        <w:t xml:space="preserve">שהתהליך ייצלח ויוולד ילד, יוכל התובע 1 להגיש בקשה לקבלת צו הורות עפ"י סעיף 11 לחוק הפונדקאות לצורך קביעת ההורות והאפוטרופסות שלו על הקטין בהתאם לסעיף 12 לחוק. </w:t>
      </w:r>
    </w:p>
    <w:p w:rsidR="00CC41C5" w:rsidRPr="00CC41C5" w:rsidRDefault="00CC41C5" w:rsidP="00CC41C5">
      <w:pPr>
        <w:pStyle w:val="ad"/>
        <w:spacing w:line="360" w:lineRule="auto"/>
        <w:rPr>
          <w:rFonts w:ascii="David" w:hAnsi="David" w:cs="David"/>
          <w:sz w:val="24"/>
          <w:szCs w:val="24"/>
          <w:rtl/>
        </w:rPr>
      </w:pPr>
    </w:p>
    <w:p w:rsidR="005B7874" w:rsidRPr="00CC41C5" w:rsidRDefault="00F64555" w:rsidP="00F64555">
      <w:pPr>
        <w:pStyle w:val="ad"/>
        <w:spacing w:line="360" w:lineRule="auto"/>
        <w:rPr>
          <w:rFonts w:ascii="David" w:hAnsi="David" w:cs="David"/>
          <w:b/>
          <w:bCs/>
          <w:sz w:val="24"/>
          <w:szCs w:val="24"/>
          <w:rtl/>
        </w:rPr>
      </w:pPr>
      <w:r w:rsidRPr="00CC41C5">
        <w:rPr>
          <w:rFonts w:ascii="David" w:hAnsi="David" w:cs="David"/>
          <w:sz w:val="24"/>
          <w:szCs w:val="24"/>
          <w:rtl/>
        </w:rPr>
        <w:t>ככל שהתובע 1 ייבחר לבצע הליך פונדקאות בחו"ל, יהא עליו לוודא חוקיות ההליך במדינה בה יבקש לנקוט בו. כאשר הובהר כי במקרה דנן, בשים לב כי הוצאת הביציות לחו"ל נעשית עבור מימוש הורותה של המנוחה, ניתן יהיה לאפשר העברת הביציות לחו"ל בהתאם לנוהל משרד הבריאו</w:t>
      </w:r>
      <w:r w:rsidR="00CC41C5" w:rsidRPr="00CC41C5">
        <w:rPr>
          <w:rFonts w:ascii="David" w:hAnsi="David" w:cs="David"/>
          <w:sz w:val="24"/>
          <w:szCs w:val="24"/>
          <w:rtl/>
        </w:rPr>
        <w:t>ת בעניין "הוצאת זרע, ביציות או ביציות מופרות מחוץ לישראל".</w:t>
      </w:r>
      <w:r w:rsidR="005B7874" w:rsidRPr="00CC41C5">
        <w:rPr>
          <w:rFonts w:ascii="David" w:hAnsi="David" w:cs="David"/>
          <w:sz w:val="24"/>
          <w:szCs w:val="24"/>
          <w:rtl/>
        </w:rPr>
        <w:t xml:space="preserve"> </w:t>
      </w:r>
    </w:p>
    <w:p w:rsidR="005B7874" w:rsidRDefault="005B7874" w:rsidP="00A141A7">
      <w:pPr>
        <w:pStyle w:val="ad"/>
        <w:spacing w:line="360" w:lineRule="auto"/>
        <w:rPr>
          <w:rFonts w:ascii="David" w:hAnsi="David" w:cs="David"/>
          <w:b/>
          <w:bCs/>
          <w:sz w:val="24"/>
          <w:szCs w:val="24"/>
        </w:rPr>
      </w:pPr>
    </w:p>
    <w:p w:rsidR="005B7874" w:rsidRPr="00CC41C5" w:rsidRDefault="005B7874" w:rsidP="00CD4AA3">
      <w:pPr>
        <w:pStyle w:val="ad"/>
        <w:numPr>
          <w:ilvl w:val="0"/>
          <w:numId w:val="1"/>
        </w:numPr>
        <w:spacing w:line="360" w:lineRule="auto"/>
        <w:jc w:val="both"/>
        <w:rPr>
          <w:rFonts w:ascii="David" w:hAnsi="David" w:cs="David"/>
          <w:sz w:val="24"/>
          <w:szCs w:val="24"/>
          <w:rtl/>
        </w:rPr>
      </w:pPr>
      <w:r w:rsidRPr="00CC41C5">
        <w:rPr>
          <w:rFonts w:ascii="David" w:hAnsi="David" w:cs="David"/>
          <w:sz w:val="24"/>
          <w:szCs w:val="24"/>
          <w:rtl/>
        </w:rPr>
        <w:t>בכל הנוגע לסוגיית כינון הורותה של המנוחה על היילוד</w:t>
      </w:r>
      <w:r w:rsidR="00CC41C5" w:rsidRPr="00CC41C5">
        <w:rPr>
          <w:rFonts w:ascii="David" w:hAnsi="David" w:cs="David"/>
          <w:sz w:val="24"/>
          <w:szCs w:val="24"/>
          <w:rtl/>
        </w:rPr>
        <w:t>,</w:t>
      </w:r>
      <w:r w:rsidRPr="00CC41C5">
        <w:rPr>
          <w:rFonts w:ascii="David" w:hAnsi="David" w:cs="David"/>
          <w:sz w:val="24"/>
          <w:szCs w:val="24"/>
          <w:rtl/>
        </w:rPr>
        <w:t xml:space="preserve"> יש להידרש לשאלה זו לאחר שיושלם הליך הבאת הילד לעולם ובמסגרת הליך משפטי חדש ונפרד</w:t>
      </w:r>
      <w:r w:rsidR="00CC41C5" w:rsidRPr="00CC41C5">
        <w:rPr>
          <w:rFonts w:ascii="David" w:hAnsi="David" w:cs="David"/>
          <w:sz w:val="24"/>
          <w:szCs w:val="24"/>
          <w:rtl/>
        </w:rPr>
        <w:t>, כאשר עמדת ב"כ היועמ"ש בסוגיה זו תובא בהליך שיוגש.</w:t>
      </w:r>
    </w:p>
    <w:p w:rsidR="005B7874" w:rsidRPr="005C25A8" w:rsidRDefault="005B7874" w:rsidP="005B7874">
      <w:pPr>
        <w:spacing w:line="360" w:lineRule="auto"/>
        <w:jc w:val="both"/>
        <w:rPr>
          <w:rFonts w:ascii="David" w:hAnsi="David"/>
          <w:b/>
          <w:bCs/>
          <w:sz w:val="28"/>
          <w:szCs w:val="28"/>
          <w:rtl/>
        </w:rPr>
      </w:pPr>
    </w:p>
    <w:p w:rsidR="005B7874" w:rsidRDefault="005B7874" w:rsidP="005B7874">
      <w:pPr>
        <w:spacing w:line="360" w:lineRule="auto"/>
        <w:jc w:val="both"/>
        <w:rPr>
          <w:rFonts w:ascii="David" w:hAnsi="David"/>
          <w:b/>
          <w:bCs/>
          <w:rtl/>
        </w:rPr>
      </w:pPr>
      <w:r w:rsidRPr="005C25A8">
        <w:rPr>
          <w:rFonts w:ascii="David" w:hAnsi="David"/>
          <w:b/>
          <w:bCs/>
          <w:sz w:val="28"/>
          <w:szCs w:val="28"/>
          <w:rtl/>
        </w:rPr>
        <w:t>התסקיר</w:t>
      </w:r>
    </w:p>
    <w:p w:rsidR="005C25A8" w:rsidRDefault="005C25A8" w:rsidP="005B7874">
      <w:pPr>
        <w:spacing w:line="360" w:lineRule="auto"/>
        <w:jc w:val="both"/>
        <w:rPr>
          <w:rFonts w:ascii="David" w:hAnsi="David"/>
          <w:b/>
          <w:bCs/>
          <w:rtl/>
        </w:rPr>
      </w:pPr>
    </w:p>
    <w:p w:rsidR="005B7874" w:rsidRDefault="005B7874" w:rsidP="00224BD1">
      <w:pPr>
        <w:pStyle w:val="ad"/>
        <w:numPr>
          <w:ilvl w:val="0"/>
          <w:numId w:val="1"/>
        </w:numPr>
        <w:spacing w:line="360" w:lineRule="auto"/>
        <w:jc w:val="both"/>
        <w:rPr>
          <w:rFonts w:ascii="David" w:hAnsi="David" w:cs="David"/>
          <w:b/>
          <w:bCs/>
          <w:sz w:val="24"/>
          <w:szCs w:val="24"/>
        </w:rPr>
      </w:pPr>
      <w:r>
        <w:rPr>
          <w:rFonts w:ascii="David" w:hAnsi="David" w:cs="David"/>
          <w:sz w:val="24"/>
          <w:szCs w:val="24"/>
          <w:rtl/>
        </w:rPr>
        <w:t>העו"ס לחוק האימוץ, אשר פגשה את התובע 1 ושוחחה עם התובעים 2-3 בשיחת זום (שכן שוהים כיום ברואנדה) התרשמה כי "</w:t>
      </w:r>
      <w:r>
        <w:rPr>
          <w:rFonts w:ascii="David" w:hAnsi="David" w:cs="David"/>
          <w:b/>
          <w:bCs/>
          <w:sz w:val="24"/>
          <w:szCs w:val="24"/>
          <w:rtl/>
        </w:rPr>
        <w:t>קי</w:t>
      </w:r>
      <w:r w:rsidR="00224BD1">
        <w:rPr>
          <w:rFonts w:ascii="David" w:hAnsi="David" w:cs="David"/>
          <w:b/>
          <w:bCs/>
          <w:sz w:val="24"/>
          <w:szCs w:val="24"/>
          <w:rtl/>
        </w:rPr>
        <w:t xml:space="preserve">ים רצון כן, חופשי ואמיתי  של </w:t>
      </w:r>
      <w:r w:rsidR="00224BD1">
        <w:rPr>
          <w:rFonts w:ascii="David" w:hAnsi="David" w:cs="David" w:hint="cs"/>
          <w:b/>
          <w:bCs/>
          <w:sz w:val="24"/>
          <w:szCs w:val="24"/>
          <w:rtl/>
        </w:rPr>
        <w:t>התובע 1</w:t>
      </w:r>
      <w:r>
        <w:rPr>
          <w:rFonts w:ascii="David" w:hAnsi="David" w:cs="David"/>
          <w:b/>
          <w:bCs/>
          <w:sz w:val="24"/>
          <w:szCs w:val="24"/>
          <w:rtl/>
        </w:rPr>
        <w:t xml:space="preserve"> להתחיל בהליך פונדקאות, תוך שימוש בביצית של </w:t>
      </w:r>
      <w:r w:rsidR="00224BD1">
        <w:rPr>
          <w:rFonts w:ascii="David" w:hAnsi="David" w:cs="David" w:hint="cs"/>
          <w:b/>
          <w:bCs/>
          <w:sz w:val="24"/>
          <w:szCs w:val="24"/>
          <w:rtl/>
        </w:rPr>
        <w:t>המנוחה</w:t>
      </w:r>
      <w:r w:rsidR="00224BD1">
        <w:rPr>
          <w:rFonts w:ascii="David" w:hAnsi="David" w:cs="David"/>
          <w:b/>
          <w:bCs/>
          <w:sz w:val="24"/>
          <w:szCs w:val="24"/>
          <w:rtl/>
        </w:rPr>
        <w:t xml:space="preserve">. </w:t>
      </w:r>
      <w:r w:rsidR="00224BD1">
        <w:rPr>
          <w:rFonts w:ascii="David" w:hAnsi="David" w:cs="David" w:hint="cs"/>
          <w:b/>
          <w:bCs/>
          <w:sz w:val="24"/>
          <w:szCs w:val="24"/>
          <w:rtl/>
        </w:rPr>
        <w:t>התובע 1</w:t>
      </w:r>
      <w:r>
        <w:rPr>
          <w:rFonts w:ascii="David" w:hAnsi="David" w:cs="David"/>
          <w:b/>
          <w:bCs/>
          <w:sz w:val="24"/>
          <w:szCs w:val="24"/>
          <w:rtl/>
        </w:rPr>
        <w:t xml:space="preserve"> פועל מתוך רצון להמשיך את התכניות והחלומות המשותפים להקים בית ולהביא את ילדיהם של </w:t>
      </w:r>
      <w:r w:rsidR="00224BD1">
        <w:rPr>
          <w:rFonts w:ascii="David" w:hAnsi="David" w:cs="David" w:hint="cs"/>
          <w:b/>
          <w:bCs/>
          <w:sz w:val="24"/>
          <w:szCs w:val="24"/>
          <w:rtl/>
        </w:rPr>
        <w:t>המנוחה</w:t>
      </w:r>
      <w:r>
        <w:rPr>
          <w:rFonts w:ascii="David" w:hAnsi="David" w:cs="David"/>
          <w:b/>
          <w:bCs/>
          <w:sz w:val="24"/>
          <w:szCs w:val="24"/>
          <w:rtl/>
        </w:rPr>
        <w:t xml:space="preserve"> ושלו לעולם"</w:t>
      </w:r>
      <w:r w:rsidR="00A141A7">
        <w:rPr>
          <w:rFonts w:ascii="David" w:hAnsi="David" w:cs="David" w:hint="cs"/>
          <w:b/>
          <w:bCs/>
          <w:sz w:val="24"/>
          <w:szCs w:val="24"/>
          <w:rtl/>
        </w:rPr>
        <w:t>.</w:t>
      </w:r>
    </w:p>
    <w:p w:rsidR="00A141A7" w:rsidRDefault="00A141A7" w:rsidP="00A141A7">
      <w:pPr>
        <w:pStyle w:val="ad"/>
        <w:spacing w:line="360" w:lineRule="auto"/>
        <w:jc w:val="both"/>
        <w:rPr>
          <w:rFonts w:ascii="David" w:hAnsi="David" w:cs="David"/>
          <w:b/>
          <w:bCs/>
          <w:sz w:val="24"/>
          <w:szCs w:val="24"/>
          <w:rtl/>
        </w:rPr>
      </w:pPr>
    </w:p>
    <w:p w:rsidR="00A141A7" w:rsidRDefault="005B7874" w:rsidP="005C25A8">
      <w:pPr>
        <w:pStyle w:val="ad"/>
        <w:numPr>
          <w:ilvl w:val="0"/>
          <w:numId w:val="1"/>
        </w:numPr>
        <w:spacing w:line="360" w:lineRule="auto"/>
        <w:jc w:val="both"/>
        <w:rPr>
          <w:rFonts w:ascii="David" w:hAnsi="David" w:cs="David"/>
          <w:sz w:val="24"/>
          <w:szCs w:val="24"/>
        </w:rPr>
      </w:pPr>
      <w:r>
        <w:rPr>
          <w:rFonts w:ascii="David" w:hAnsi="David" w:cs="David"/>
          <w:sz w:val="24"/>
          <w:szCs w:val="24"/>
          <w:rtl/>
        </w:rPr>
        <w:t>עוד התרשמה העו"ס כי התובע 1 ישתף את הקטין שיוולד בזהות אמו ויספר לו את סיפור הולדתו בהתאם לגילו.</w:t>
      </w:r>
    </w:p>
    <w:p w:rsidR="005C25A8" w:rsidRPr="005C25A8" w:rsidRDefault="005C25A8" w:rsidP="005C25A8">
      <w:pPr>
        <w:spacing w:line="360" w:lineRule="auto"/>
        <w:jc w:val="both"/>
        <w:rPr>
          <w:rFonts w:ascii="David" w:hAnsi="David"/>
        </w:rPr>
      </w:pPr>
    </w:p>
    <w:p w:rsidR="005B7874" w:rsidRDefault="005B7874" w:rsidP="005B787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לקשר של התובע 1 עם הוריה של המנוחה- התובעים 2-3, התרשמה העו"ס כי המדובר מערכת יחסים טובה וקרובה. התובעים יודעים לתמוך זה בזה ולסייע כפי הנדרש. יחד עם </w:t>
      </w:r>
      <w:r>
        <w:rPr>
          <w:rFonts w:ascii="David" w:hAnsi="David" w:cs="David"/>
          <w:sz w:val="24"/>
          <w:szCs w:val="24"/>
          <w:rtl/>
        </w:rPr>
        <w:lastRenderedPageBreak/>
        <w:t>זאת,  ניכר כי הורי המנוחה דואגים לתת מרחב לתובע 1 ומבקשים שימשיך בחייו ואף סומכים על התובע 1 כי יקבל את ההחלטות הנכונות ביותר עבור הנכד שיוולד להם. התובע 1 מודע לכך כי הוא יהיה ההורה ובעל הסמכות הבלעדי ומבין את מקומם ותפקידם של התובעים 2-3 בחיי הילד שייוולד.</w:t>
      </w:r>
    </w:p>
    <w:p w:rsidR="005B7874" w:rsidRDefault="005B7874" w:rsidP="005B7874">
      <w:pPr>
        <w:spacing w:line="360" w:lineRule="auto"/>
        <w:jc w:val="both"/>
        <w:rPr>
          <w:rFonts w:ascii="David" w:hAnsi="David"/>
          <w:b/>
          <w:bCs/>
          <w:sz w:val="28"/>
          <w:szCs w:val="28"/>
          <w:rtl/>
        </w:rPr>
      </w:pPr>
      <w:r w:rsidRPr="00A141A7">
        <w:rPr>
          <w:rFonts w:ascii="David" w:hAnsi="David"/>
          <w:b/>
          <w:bCs/>
          <w:sz w:val="28"/>
          <w:szCs w:val="28"/>
          <w:rtl/>
        </w:rPr>
        <w:t>דיון והכרעה</w:t>
      </w:r>
    </w:p>
    <w:p w:rsidR="00A141A7" w:rsidRPr="00A141A7" w:rsidRDefault="00A141A7" w:rsidP="005B7874">
      <w:pPr>
        <w:spacing w:line="360" w:lineRule="auto"/>
        <w:jc w:val="both"/>
        <w:rPr>
          <w:rFonts w:ascii="David" w:hAnsi="David"/>
          <w:b/>
          <w:bCs/>
          <w:sz w:val="28"/>
          <w:szCs w:val="28"/>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כידוע, וכפי שנאמר לא אחת בפסיקה, התקדמות המדע והרפואה מהירה הרבה יותר מהתקדמות המשפט והתקדמות מבורכת זו מביאה עמה שאלות מורכבות בענייני מוסר וערכים:</w:t>
      </w:r>
    </w:p>
    <w:p w:rsidR="005B7874" w:rsidRPr="005C25A8" w:rsidRDefault="005B7874" w:rsidP="005B7874">
      <w:pPr>
        <w:spacing w:line="360" w:lineRule="auto"/>
        <w:ind w:left="720"/>
        <w:jc w:val="both"/>
        <w:rPr>
          <w:rFonts w:ascii="David" w:hAnsi="David"/>
          <w:b/>
          <w:bCs/>
          <w:rtl/>
        </w:rPr>
      </w:pPr>
      <w:r w:rsidRPr="005C25A8">
        <w:rPr>
          <w:rFonts w:ascii="David" w:hAnsi="David"/>
          <w:b/>
          <w:bCs/>
          <w:color w:val="000000"/>
          <w:rtl/>
        </w:rPr>
        <w:t>"הסוגיה העומדת לפנינו נקרתה לנו בשל שערי המדע העצומים הנפתחים לפנינו חדשות לבקרים ומגלים עולמות חדשים שלא הכרנו קודם לכן, ומתוך שהילוכו של המדע מהיר מהילוכו של החוק,  פוסעים אנשי המשפט לתוך אותם עולמות בזהירות ובמתינות שכן אין לדעת מהו מנח כף הרגל הנורמטיבי הראוי לאותו עולם חדש והאם הקרקע החדשה עליה אנו פוסעים יציבה דיה</w:t>
      </w:r>
      <w:r w:rsidRPr="005C25A8">
        <w:rPr>
          <w:rFonts w:ascii="David" w:hAnsi="David"/>
          <w:b/>
          <w:bCs/>
          <w:color w:val="000000"/>
        </w:rPr>
        <w:t>.</w:t>
      </w:r>
      <w:r w:rsidRPr="005C25A8">
        <w:rPr>
          <w:rFonts w:ascii="David" w:hAnsi="David"/>
          <w:b/>
          <w:bCs/>
          <w:rtl/>
        </w:rPr>
        <w:t>"</w:t>
      </w:r>
    </w:p>
    <w:p w:rsidR="005B7874" w:rsidRPr="00CD4AA3" w:rsidRDefault="00CD4AA3" w:rsidP="00CD4AA3">
      <w:pPr>
        <w:spacing w:line="360" w:lineRule="auto"/>
        <w:ind w:firstLine="720"/>
        <w:jc w:val="both"/>
        <w:rPr>
          <w:rFonts w:ascii="David" w:hAnsi="David"/>
          <w:color w:val="000000"/>
          <w:rtl/>
        </w:rPr>
      </w:pPr>
      <w:r>
        <w:rPr>
          <w:rFonts w:ascii="David" w:hAnsi="David"/>
          <w:color w:val="000000"/>
          <w:rtl/>
        </w:rPr>
        <w:t>(</w:t>
      </w:r>
      <w:r w:rsidR="005B7874" w:rsidRPr="00CD4AA3">
        <w:rPr>
          <w:rFonts w:ascii="David" w:hAnsi="David"/>
          <w:color w:val="000000"/>
          <w:rtl/>
        </w:rPr>
        <w:t xml:space="preserve">כב' השופט וייצמן בעמש (מרכז) 8293-09-20‏ </w:t>
      </w:r>
      <w:r>
        <w:rPr>
          <w:rFonts w:ascii="David" w:hAnsi="David"/>
          <w:color w:val="000000"/>
          <w:rtl/>
        </w:rPr>
        <w:t>‏ מ. ר נ' מרכז רפואי ע"ש רבין,</w:t>
      </w:r>
      <w:r>
        <w:rPr>
          <w:rFonts w:ascii="David" w:hAnsi="David" w:hint="cs"/>
          <w:color w:val="000000"/>
          <w:rtl/>
        </w:rPr>
        <w:t xml:space="preserve"> </w:t>
      </w:r>
      <w:r w:rsidR="00E7038B">
        <w:rPr>
          <w:rFonts w:ascii="David" w:hAnsi="David" w:hint="cs"/>
          <w:color w:val="000000"/>
          <w:rtl/>
        </w:rPr>
        <w:t>4.7.2022</w:t>
      </w:r>
      <w:r w:rsidR="005B7874" w:rsidRPr="00CD4AA3">
        <w:rPr>
          <w:rFonts w:ascii="David" w:hAnsi="David"/>
          <w:color w:val="000000"/>
          <w:rtl/>
        </w:rPr>
        <w:t>).</w:t>
      </w:r>
    </w:p>
    <w:p w:rsidR="005C25A8" w:rsidRPr="005C25A8" w:rsidRDefault="005C25A8" w:rsidP="005B7874">
      <w:pPr>
        <w:spacing w:line="360" w:lineRule="auto"/>
        <w:ind w:firstLine="720"/>
        <w:jc w:val="both"/>
        <w:rPr>
          <w:rFonts w:ascii="David" w:hAnsi="David"/>
          <w:b/>
          <w:bCs/>
          <w:rtl/>
        </w:rPr>
      </w:pPr>
    </w:p>
    <w:p w:rsidR="005B7874" w:rsidRDefault="005B7874" w:rsidP="005B7874">
      <w:pPr>
        <w:pStyle w:val="ad"/>
        <w:numPr>
          <w:ilvl w:val="0"/>
          <w:numId w:val="1"/>
        </w:numPr>
        <w:spacing w:line="360" w:lineRule="auto"/>
        <w:jc w:val="both"/>
        <w:rPr>
          <w:rFonts w:ascii="David" w:hAnsi="David" w:cs="David"/>
          <w:sz w:val="24"/>
          <w:szCs w:val="24"/>
          <w:rtl/>
        </w:rPr>
      </w:pPr>
      <w:r>
        <w:rPr>
          <w:rFonts w:ascii="David" w:hAnsi="David" w:cs="David"/>
          <w:sz w:val="24"/>
          <w:szCs w:val="24"/>
          <w:rtl/>
        </w:rPr>
        <w:t>שאלת השימוש בביציות של נפטרת על ידי בן זוגה לצורך הבאת ילדים משותפים אינה מוסדרת בחקיקה ואף לא נדונה בפסיקה המפורסמת, הגם כי ניתן למצוא בחוקים השונים הוראות לעניין שימוש בביציות של נפטרת על ידי אישה אחרת.</w:t>
      </w:r>
    </w:p>
    <w:p w:rsidR="005B7874" w:rsidRDefault="005B7874" w:rsidP="005B7874">
      <w:pPr>
        <w:spacing w:line="360" w:lineRule="auto"/>
        <w:ind w:left="720"/>
        <w:jc w:val="both"/>
        <w:rPr>
          <w:rFonts w:ascii="David" w:hAnsi="David"/>
          <w:color w:val="000000"/>
          <w:rtl/>
        </w:rPr>
      </w:pPr>
      <w:r>
        <w:rPr>
          <w:rFonts w:ascii="David" w:hAnsi="David"/>
          <w:rtl/>
        </w:rPr>
        <w:t xml:space="preserve">מאידך, השימוש בזרע של נפטר, על ידי בת הזוג ואף על ידי הורי הנפטר, נדון לא מעט בפסיקה ואף מוסדר </w:t>
      </w:r>
      <w:r w:rsidRPr="005C25A8">
        <w:rPr>
          <w:rFonts w:ascii="David" w:hAnsi="David"/>
          <w:b/>
          <w:bCs/>
          <w:rtl/>
        </w:rPr>
        <w:t xml:space="preserve">בנוהל </w:t>
      </w:r>
      <w:r w:rsidRPr="005C25A8">
        <w:rPr>
          <w:rFonts w:ascii="David" w:hAnsi="David"/>
          <w:b/>
          <w:bCs/>
          <w:color w:val="000000"/>
          <w:rtl/>
        </w:rPr>
        <w:t>היועהמ"ש משנת 2003 שמספרו 1.2202 "נטילת זרע לאחר המוות והשימוש בו"</w:t>
      </w:r>
      <w:r w:rsidRPr="005C25A8">
        <w:rPr>
          <w:rFonts w:ascii="David" w:hAnsi="David"/>
          <w:b/>
          <w:bCs/>
          <w:color w:val="000000"/>
        </w:rPr>
        <w:t> </w:t>
      </w:r>
      <w:r>
        <w:rPr>
          <w:rFonts w:ascii="David" w:hAnsi="David"/>
          <w:rtl/>
        </w:rPr>
        <w:t>. בהתאם לפסיקה ולנוהל היועמ"ש</w:t>
      </w:r>
      <w:r>
        <w:rPr>
          <w:rFonts w:ascii="David" w:hAnsi="David"/>
          <w:color w:val="000000"/>
          <w:rtl/>
        </w:rPr>
        <w:t xml:space="preserve"> ככלל, ניתן לעשות שימוש בזרע של נפטר בהתאם לרצונו המפורש ולצורך הפריית בת הזוג הקבועה שהייתה לו בחייו. </w:t>
      </w:r>
    </w:p>
    <w:p w:rsidR="005C25A8" w:rsidRDefault="005C25A8" w:rsidP="005B7874">
      <w:pPr>
        <w:spacing w:line="360" w:lineRule="auto"/>
        <w:ind w:left="720"/>
        <w:jc w:val="both"/>
        <w:rPr>
          <w:rFonts w:ascii="David" w:hAnsi="David"/>
          <w:color w:val="000000"/>
          <w:rtl/>
        </w:rPr>
      </w:pPr>
    </w:p>
    <w:p w:rsidR="005B7874" w:rsidRPr="005C25A8" w:rsidRDefault="005C25A8" w:rsidP="005C25A8">
      <w:pPr>
        <w:pStyle w:val="ad"/>
        <w:numPr>
          <w:ilvl w:val="0"/>
          <w:numId w:val="1"/>
        </w:numPr>
        <w:spacing w:line="360" w:lineRule="auto"/>
        <w:jc w:val="both"/>
        <w:rPr>
          <w:rFonts w:ascii="David" w:hAnsi="David" w:cs="David"/>
          <w:color w:val="000000"/>
          <w:sz w:val="24"/>
          <w:szCs w:val="24"/>
          <w:rtl/>
        </w:rPr>
      </w:pPr>
      <w:r w:rsidRPr="005C25A8">
        <w:rPr>
          <w:rFonts w:ascii="David" w:hAnsi="David" w:cs="David"/>
          <w:b/>
          <w:bCs/>
          <w:sz w:val="24"/>
          <w:szCs w:val="24"/>
          <w:rtl/>
        </w:rPr>
        <w:t>ב</w:t>
      </w:r>
      <w:r w:rsidR="005B7874" w:rsidRPr="005C25A8">
        <w:rPr>
          <w:rFonts w:ascii="David" w:hAnsi="David" w:cs="David"/>
          <w:b/>
          <w:bCs/>
          <w:spacing w:val="10"/>
          <w:sz w:val="24"/>
          <w:szCs w:val="24"/>
          <w:rtl/>
        </w:rPr>
        <w:t>עמ"ש 8293-09-20</w:t>
      </w:r>
      <w:r w:rsidR="005B7874" w:rsidRPr="005C25A8">
        <w:rPr>
          <w:rFonts w:ascii="David" w:hAnsi="David" w:cs="David"/>
          <w:sz w:val="24"/>
          <w:szCs w:val="24"/>
          <w:rtl/>
        </w:rPr>
        <w:t xml:space="preserve"> [</w:t>
      </w:r>
      <w:r w:rsidR="005B7874" w:rsidRPr="005C25A8">
        <w:rPr>
          <w:rFonts w:ascii="David" w:hAnsi="David" w:cs="David"/>
          <w:color w:val="000000"/>
          <w:spacing w:val="10"/>
          <w:sz w:val="24"/>
          <w:szCs w:val="24"/>
          <w:rtl/>
        </w:rPr>
        <w:t>מיום 4.7.2022</w:t>
      </w:r>
      <w:r w:rsidR="005B7874" w:rsidRPr="005C25A8">
        <w:rPr>
          <w:rFonts w:ascii="David" w:hAnsi="David" w:cs="David"/>
          <w:color w:val="000000"/>
          <w:sz w:val="24"/>
          <w:szCs w:val="24"/>
          <w:rtl/>
        </w:rPr>
        <w:t>) (</w:t>
      </w:r>
      <w:r w:rsidR="005B7874" w:rsidRPr="005C25A8">
        <w:rPr>
          <w:rFonts w:ascii="David" w:hAnsi="David" w:cs="David"/>
          <w:sz w:val="24"/>
          <w:szCs w:val="24"/>
          <w:rtl/>
        </w:rPr>
        <w:t xml:space="preserve">בקשת רשות ערעור נדחתה </w:t>
      </w:r>
      <w:r w:rsidR="005B7874" w:rsidRPr="005C25A8">
        <w:rPr>
          <w:rFonts w:ascii="David" w:hAnsi="David" w:cs="David"/>
          <w:b/>
          <w:bCs/>
          <w:sz w:val="24"/>
          <w:szCs w:val="24"/>
          <w:rtl/>
        </w:rPr>
        <w:t>בע"מ 5984/22 ‏</w:t>
      </w:r>
      <w:r w:rsidR="005B7874" w:rsidRPr="005C25A8">
        <w:rPr>
          <w:rFonts w:ascii="David" w:hAnsi="David" w:cs="David"/>
          <w:sz w:val="24"/>
          <w:szCs w:val="24"/>
          <w:rtl/>
        </w:rPr>
        <w:t xml:space="preserve"> ‏ פלונית נ' המרכז הרפואי רבין, (מיום 5.2.2023) )</w:t>
      </w:r>
      <w:r w:rsidRPr="005C25A8">
        <w:rPr>
          <w:rFonts w:ascii="David" w:hAnsi="David" w:cs="David"/>
          <w:sz w:val="24"/>
          <w:szCs w:val="24"/>
          <w:rtl/>
        </w:rPr>
        <w:t xml:space="preserve"> </w:t>
      </w:r>
      <w:r w:rsidR="005B7874" w:rsidRPr="005C25A8">
        <w:rPr>
          <w:rFonts w:ascii="David" w:hAnsi="David" w:cs="David"/>
          <w:color w:val="000000"/>
          <w:sz w:val="24"/>
          <w:szCs w:val="24"/>
          <w:rtl/>
        </w:rPr>
        <w:t xml:space="preserve">נדונה לראשונה שאלת השימוש בביציות של נפטרת. נקבע כי </w:t>
      </w:r>
      <w:r w:rsidR="005B7874" w:rsidRPr="005C25A8">
        <w:rPr>
          <w:rFonts w:ascii="David" w:hAnsi="David" w:cs="David"/>
          <w:color w:val="000000"/>
          <w:spacing w:val="10"/>
          <w:sz w:val="24"/>
          <w:szCs w:val="24"/>
          <w:rtl/>
        </w:rPr>
        <w:t xml:space="preserve">כל מקרה של השתלת ביצית מאישה לרעותה צריך להיבחן לפי </w:t>
      </w:r>
      <w:r w:rsidR="005B7874" w:rsidRPr="005C25A8">
        <w:rPr>
          <w:rFonts w:ascii="David" w:hAnsi="David" w:cs="David"/>
          <w:spacing w:val="10"/>
          <w:sz w:val="24"/>
          <w:szCs w:val="24"/>
          <w:rtl/>
        </w:rPr>
        <w:t>הוראות חוק תרומת ביציות</w:t>
      </w:r>
      <w:r w:rsidR="005B7874" w:rsidRPr="005C25A8">
        <w:rPr>
          <w:rFonts w:ascii="David" w:hAnsi="David" w:cs="David"/>
          <w:spacing w:val="10"/>
          <w:sz w:val="24"/>
          <w:szCs w:val="24"/>
        </w:rPr>
        <w:t> </w:t>
      </w:r>
      <w:r w:rsidR="005B7874" w:rsidRPr="005C25A8">
        <w:rPr>
          <w:rFonts w:ascii="David" w:hAnsi="David" w:cs="David"/>
          <w:spacing w:val="10"/>
          <w:sz w:val="24"/>
          <w:szCs w:val="24"/>
          <w:rtl/>
        </w:rPr>
        <w:t>(אף כאשר לא מד</w:t>
      </w:r>
      <w:r w:rsidR="00CC41C5">
        <w:rPr>
          <w:rFonts w:ascii="David" w:hAnsi="David" w:cs="David"/>
          <w:spacing w:val="10"/>
          <w:sz w:val="24"/>
          <w:szCs w:val="24"/>
          <w:rtl/>
        </w:rPr>
        <w:t>ובר ב"תרומה" במובנה המילולי)</w:t>
      </w:r>
      <w:r w:rsidR="00CC41C5">
        <w:rPr>
          <w:rFonts w:ascii="David" w:hAnsi="David" w:cs="David" w:hint="cs"/>
          <w:spacing w:val="10"/>
          <w:sz w:val="24"/>
          <w:szCs w:val="24"/>
          <w:rtl/>
        </w:rPr>
        <w:t xml:space="preserve"> ו</w:t>
      </w:r>
      <w:r w:rsidR="005B7874" w:rsidRPr="005C25A8">
        <w:rPr>
          <w:rFonts w:ascii="David" w:hAnsi="David" w:cs="David"/>
          <w:spacing w:val="10"/>
          <w:sz w:val="24"/>
          <w:szCs w:val="24"/>
          <w:rtl/>
        </w:rPr>
        <w:t xml:space="preserve">כי יש צורך בהוכחת רצון מפורש וכי </w:t>
      </w:r>
      <w:r w:rsidR="005B7874" w:rsidRPr="005C25A8">
        <w:rPr>
          <w:rFonts w:ascii="David" w:hAnsi="David" w:cs="David"/>
          <w:color w:val="000000"/>
          <w:spacing w:val="10"/>
          <w:sz w:val="24"/>
          <w:szCs w:val="24"/>
          <w:rtl/>
        </w:rPr>
        <w:t xml:space="preserve">הוראות </w:t>
      </w:r>
      <w:r w:rsidR="005B7874" w:rsidRPr="00CC41C5">
        <w:rPr>
          <w:rFonts w:ascii="David" w:hAnsi="David" w:cs="David"/>
          <w:b/>
          <w:bCs/>
          <w:color w:val="000000"/>
          <w:spacing w:val="10"/>
          <w:sz w:val="24"/>
          <w:szCs w:val="24"/>
          <w:rtl/>
        </w:rPr>
        <w:t>תקנות בריאות העם</w:t>
      </w:r>
      <w:r w:rsidR="005B7874" w:rsidRPr="005C25A8">
        <w:rPr>
          <w:rFonts w:ascii="David" w:hAnsi="David" w:cs="David"/>
          <w:color w:val="000000"/>
          <w:spacing w:val="10"/>
          <w:sz w:val="24"/>
          <w:szCs w:val="24"/>
          <w:rtl/>
        </w:rPr>
        <w:t xml:space="preserve"> כפופות </w:t>
      </w:r>
      <w:r w:rsidR="005B7874" w:rsidRPr="00CC41C5">
        <w:rPr>
          <w:rFonts w:ascii="David" w:hAnsi="David" w:cs="David"/>
          <w:b/>
          <w:bCs/>
          <w:color w:val="000000"/>
          <w:spacing w:val="10"/>
          <w:sz w:val="24"/>
          <w:szCs w:val="24"/>
          <w:rtl/>
        </w:rPr>
        <w:t>לחוק תרומת ביציות</w:t>
      </w:r>
      <w:r w:rsidR="005B7874" w:rsidRPr="005C25A8">
        <w:rPr>
          <w:rFonts w:ascii="David" w:hAnsi="David" w:cs="David"/>
          <w:color w:val="000000"/>
          <w:spacing w:val="10"/>
          <w:sz w:val="24"/>
          <w:szCs w:val="24"/>
          <w:rtl/>
        </w:rPr>
        <w:t xml:space="preserve">. בכל הנוגע לשאלת ההסכמה של המנוחה </w:t>
      </w:r>
      <w:r w:rsidR="005B7874" w:rsidRPr="005C25A8">
        <w:rPr>
          <w:rFonts w:ascii="David" w:hAnsi="David" w:cs="David"/>
          <w:color w:val="000000"/>
          <w:sz w:val="24"/>
          <w:szCs w:val="24"/>
          <w:rtl/>
        </w:rPr>
        <w:t>נקבע כי ככל שהוכחה הסכמה מפורשת וברורה  אפשר וניתן יהיה לוותר על דרישת הכתב</w:t>
      </w:r>
      <w:r w:rsidR="005B7874" w:rsidRPr="005C25A8">
        <w:rPr>
          <w:rFonts w:ascii="David" w:hAnsi="David" w:cs="David"/>
          <w:color w:val="000000"/>
          <w:sz w:val="24"/>
          <w:szCs w:val="24"/>
        </w:rPr>
        <w:t>.</w:t>
      </w:r>
      <w:r w:rsidR="005B7874" w:rsidRPr="005C25A8">
        <w:rPr>
          <w:rFonts w:ascii="David" w:hAnsi="David" w:cs="David"/>
          <w:color w:val="000000"/>
          <w:sz w:val="24"/>
          <w:szCs w:val="24"/>
          <w:rtl/>
        </w:rPr>
        <w:t xml:space="preserve"> </w:t>
      </w:r>
    </w:p>
    <w:p w:rsidR="005B7874" w:rsidRDefault="005B7874" w:rsidP="005B7874">
      <w:pPr>
        <w:spacing w:line="360" w:lineRule="auto"/>
        <w:ind w:left="720"/>
        <w:jc w:val="both"/>
        <w:rPr>
          <w:rFonts w:ascii="David" w:hAnsi="David"/>
          <w:color w:val="000000"/>
          <w:rtl/>
        </w:rPr>
      </w:pPr>
      <w:r>
        <w:rPr>
          <w:rFonts w:ascii="David" w:hAnsi="David"/>
          <w:color w:val="000000"/>
          <w:rtl/>
        </w:rPr>
        <w:t>בנוסף נקבע באותו עניין כי השימוש בביצית של נפטרת יבחן באופן מחמיר לפ</w:t>
      </w:r>
      <w:r w:rsidR="00E7038B">
        <w:rPr>
          <w:rFonts w:ascii="David" w:hAnsi="David"/>
          <w:color w:val="000000"/>
          <w:rtl/>
        </w:rPr>
        <w:t xml:space="preserve">חות כמו עניין השימוש בזרע של </w:t>
      </w:r>
      <w:r w:rsidR="00E7038B">
        <w:rPr>
          <w:rFonts w:ascii="David" w:hAnsi="David" w:hint="cs"/>
          <w:color w:val="000000"/>
          <w:rtl/>
        </w:rPr>
        <w:t>נפטר.</w:t>
      </w:r>
    </w:p>
    <w:p w:rsidR="00946190" w:rsidRDefault="00946190" w:rsidP="005B7874">
      <w:pPr>
        <w:spacing w:line="360" w:lineRule="auto"/>
        <w:ind w:left="720"/>
        <w:jc w:val="both"/>
        <w:rPr>
          <w:rFonts w:ascii="David" w:hAnsi="David"/>
          <w:color w:val="000000"/>
          <w:rtl/>
        </w:rPr>
      </w:pPr>
    </w:p>
    <w:p w:rsidR="005B7874" w:rsidRDefault="005B7874" w:rsidP="00946190">
      <w:pPr>
        <w:pStyle w:val="ad"/>
        <w:spacing w:line="360" w:lineRule="auto"/>
        <w:jc w:val="both"/>
        <w:rPr>
          <w:rFonts w:ascii="David" w:eastAsia="Times New Roman" w:hAnsi="David" w:cs="David"/>
          <w:color w:val="000000"/>
          <w:sz w:val="24"/>
          <w:szCs w:val="24"/>
          <w:rtl/>
        </w:rPr>
      </w:pPr>
      <w:r>
        <w:rPr>
          <w:rFonts w:ascii="David" w:hAnsi="David" w:cs="David"/>
          <w:color w:val="000000"/>
          <w:sz w:val="24"/>
          <w:szCs w:val="24"/>
          <w:rtl/>
        </w:rPr>
        <w:t xml:space="preserve">בפסק דין זה ניתן למצוא אף התייחסות </w:t>
      </w:r>
      <w:r>
        <w:rPr>
          <w:rFonts w:ascii="David" w:eastAsia="Times New Roman" w:hAnsi="David" w:cs="David"/>
          <w:color w:val="000000"/>
          <w:sz w:val="24"/>
          <w:szCs w:val="24"/>
          <w:rtl/>
        </w:rPr>
        <w:t>להמלצות הועדה הציבורית לבחינת הסדרה חקיקתית של נו</w:t>
      </w:r>
      <w:r w:rsidR="00946190">
        <w:rPr>
          <w:rFonts w:ascii="David" w:eastAsia="Times New Roman" w:hAnsi="David" w:cs="David"/>
          <w:color w:val="000000"/>
          <w:sz w:val="24"/>
          <w:szCs w:val="24"/>
          <w:rtl/>
        </w:rPr>
        <w:t>שא הפריון וההולדה בישראל (</w:t>
      </w:r>
      <w:r w:rsidR="00946190">
        <w:rPr>
          <w:rFonts w:ascii="David" w:eastAsia="Times New Roman" w:hAnsi="David" w:cs="David" w:hint="cs"/>
          <w:color w:val="000000"/>
          <w:sz w:val="24"/>
          <w:szCs w:val="24"/>
          <w:rtl/>
        </w:rPr>
        <w:t>אשר נקראה גם:</w:t>
      </w:r>
      <w:r>
        <w:rPr>
          <w:rFonts w:ascii="David" w:eastAsia="Times New Roman" w:hAnsi="David" w:cs="David"/>
          <w:color w:val="000000"/>
          <w:sz w:val="24"/>
          <w:szCs w:val="24"/>
          <w:rtl/>
        </w:rPr>
        <w:t> </w:t>
      </w:r>
      <w:r w:rsidR="00946190">
        <w:rPr>
          <w:rFonts w:ascii="David" w:eastAsia="Times New Roman" w:hAnsi="David" w:cs="David" w:hint="cs"/>
          <w:color w:val="000000"/>
          <w:sz w:val="24"/>
          <w:szCs w:val="24"/>
          <w:rtl/>
        </w:rPr>
        <w:t>"</w:t>
      </w:r>
      <w:r w:rsidRPr="00E7038B">
        <w:rPr>
          <w:rFonts w:ascii="David" w:eastAsia="Times New Roman" w:hAnsi="David" w:cs="David"/>
          <w:b/>
          <w:bCs/>
          <w:color w:val="000000"/>
          <w:sz w:val="24"/>
          <w:szCs w:val="24"/>
          <w:rtl/>
        </w:rPr>
        <w:t>ועדת מור יוסף</w:t>
      </w:r>
      <w:r w:rsidR="00946190">
        <w:rPr>
          <w:rFonts w:ascii="David" w:eastAsia="Times New Roman" w:hAnsi="David" w:cs="David" w:hint="cs"/>
          <w:color w:val="000000"/>
          <w:sz w:val="24"/>
          <w:szCs w:val="24"/>
          <w:rtl/>
        </w:rPr>
        <w:t>"</w:t>
      </w:r>
      <w:r>
        <w:rPr>
          <w:rFonts w:ascii="David" w:eastAsia="Times New Roman" w:hAnsi="David" w:cs="David"/>
          <w:color w:val="000000"/>
          <w:sz w:val="24"/>
          <w:szCs w:val="24"/>
          <w:rtl/>
        </w:rPr>
        <w:t>)  אשר המליצה בשנת 2012 לעניין ביציות</w:t>
      </w:r>
      <w:r w:rsidR="00946190">
        <w:rPr>
          <w:rFonts w:ascii="David" w:eastAsia="Times New Roman" w:hAnsi="David" w:cs="David"/>
          <w:color w:val="000000"/>
          <w:sz w:val="24"/>
          <w:szCs w:val="24"/>
          <w:rtl/>
        </w:rPr>
        <w:t xml:space="preserve"> שנשאבו קודם למוות כי ההחלטה </w:t>
      </w:r>
      <w:r w:rsidR="00946190">
        <w:rPr>
          <w:rFonts w:ascii="David" w:eastAsia="Times New Roman" w:hAnsi="David" w:cs="David" w:hint="cs"/>
          <w:color w:val="000000"/>
          <w:sz w:val="24"/>
          <w:szCs w:val="24"/>
          <w:rtl/>
        </w:rPr>
        <w:t>נתונה</w:t>
      </w:r>
      <w:r>
        <w:rPr>
          <w:rFonts w:ascii="David" w:eastAsia="Times New Roman" w:hAnsi="David" w:cs="David"/>
          <w:color w:val="000000"/>
          <w:sz w:val="24"/>
          <w:szCs w:val="24"/>
          <w:rtl/>
        </w:rPr>
        <w:t xml:space="preserve"> בידי האישה, והיא  זו שתקבע מה יעשה בביציות של אם היא תלך לעולמה (</w:t>
      </w:r>
      <w:r w:rsidRPr="00946190">
        <w:rPr>
          <w:rFonts w:ascii="David" w:eastAsia="Times New Roman" w:hAnsi="David" w:cs="David"/>
          <w:b/>
          <w:bCs/>
          <w:color w:val="000000"/>
          <w:sz w:val="24"/>
          <w:szCs w:val="24"/>
          <w:rtl/>
        </w:rPr>
        <w:t>סעיף 27 לפסק הדין</w:t>
      </w:r>
      <w:r>
        <w:rPr>
          <w:rFonts w:ascii="David" w:eastAsia="Times New Roman" w:hAnsi="David" w:cs="David"/>
          <w:color w:val="000000"/>
          <w:sz w:val="24"/>
          <w:szCs w:val="24"/>
          <w:rtl/>
        </w:rPr>
        <w:t>).</w:t>
      </w:r>
    </w:p>
    <w:p w:rsidR="005B7874" w:rsidRDefault="005B7874" w:rsidP="005B7874">
      <w:pPr>
        <w:ind w:left="1076" w:right="993"/>
        <w:jc w:val="both"/>
        <w:rPr>
          <w:rFonts w:cs="Times New Roman"/>
          <w:color w:val="000000"/>
          <w:sz w:val="27"/>
          <w:szCs w:val="27"/>
        </w:rPr>
      </w:pPr>
      <w:r>
        <w:rPr>
          <w:rFonts w:ascii="Narkisim" w:hAnsi="Narkisim" w:cs="Narkisim"/>
          <w:color w:val="000000"/>
          <w:sz w:val="28"/>
          <w:szCs w:val="28"/>
          <w:rtl/>
        </w:rPr>
        <w:t> </w:t>
      </w:r>
    </w:p>
    <w:p w:rsidR="005B7874" w:rsidRDefault="005B7874" w:rsidP="005B7874">
      <w:pPr>
        <w:spacing w:line="360" w:lineRule="auto"/>
        <w:ind w:firstLine="360"/>
        <w:jc w:val="both"/>
        <w:rPr>
          <w:rFonts w:ascii="David" w:eastAsiaTheme="minorHAnsi" w:hAnsi="David"/>
          <w:b/>
          <w:bCs/>
          <w:sz w:val="28"/>
          <w:szCs w:val="28"/>
          <w:rtl/>
        </w:rPr>
      </w:pPr>
      <w:r w:rsidRPr="00A141A7">
        <w:rPr>
          <w:rFonts w:ascii="David" w:hAnsi="David"/>
          <w:b/>
          <w:bCs/>
          <w:sz w:val="28"/>
          <w:szCs w:val="28"/>
          <w:rtl/>
        </w:rPr>
        <w:t>מן הכלל אל הפרט.</w:t>
      </w:r>
    </w:p>
    <w:p w:rsidR="00A141A7" w:rsidRPr="00A141A7" w:rsidRDefault="00A141A7" w:rsidP="005B7874">
      <w:pPr>
        <w:spacing w:line="360" w:lineRule="auto"/>
        <w:ind w:firstLine="360"/>
        <w:jc w:val="both"/>
        <w:rPr>
          <w:rFonts w:ascii="David" w:eastAsiaTheme="minorHAnsi" w:hAnsi="David"/>
          <w:b/>
          <w:bCs/>
          <w:sz w:val="28"/>
          <w:szCs w:val="28"/>
          <w:rtl/>
        </w:rPr>
      </w:pPr>
    </w:p>
    <w:p w:rsidR="005B7874" w:rsidRDefault="005B7874" w:rsidP="005B787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אין מחלוקת בין הצדדים כי המנוחה והתובע 1 היו בני זוג, התעתדו להינשא ולהביא ילדים לעולם. כך גם אין חולק כי המנוחה הביעה את רצונה המפורש כי התובע 1 יעשה שימוש בביציותיה לצורך הבאת ילדים משותפים לעולם, אף לאחר מותה.</w:t>
      </w:r>
    </w:p>
    <w:p w:rsidR="005B7874" w:rsidRDefault="005B7874" w:rsidP="005B7874">
      <w:pPr>
        <w:pStyle w:val="ad"/>
        <w:spacing w:line="360" w:lineRule="auto"/>
        <w:jc w:val="both"/>
        <w:rPr>
          <w:rFonts w:ascii="David" w:hAnsi="David" w:cs="David"/>
          <w:color w:val="000000"/>
          <w:sz w:val="24"/>
          <w:szCs w:val="24"/>
        </w:rPr>
      </w:pPr>
    </w:p>
    <w:p w:rsidR="005B7874" w:rsidRDefault="005B7874" w:rsidP="005B787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 xml:space="preserve">המנוחה הביעה רצונה המפורש בפני אביה, בפני התובע 1, </w:t>
      </w:r>
      <w:r w:rsidR="00224BD1">
        <w:rPr>
          <w:rFonts w:ascii="David" w:hAnsi="David" w:cs="David"/>
          <w:color w:val="000000"/>
          <w:sz w:val="24"/>
          <w:szCs w:val="24"/>
          <w:rtl/>
        </w:rPr>
        <w:t xml:space="preserve">וכן בפני הרופא המטפל ד"ר </w:t>
      </w:r>
      <w:r w:rsidR="00224BD1">
        <w:rPr>
          <w:rFonts w:ascii="David" w:hAnsi="David" w:cs="David" w:hint="cs"/>
          <w:color w:val="000000"/>
          <w:sz w:val="24"/>
          <w:szCs w:val="24"/>
        </w:rPr>
        <w:t>XXX</w:t>
      </w:r>
      <w:r>
        <w:rPr>
          <w:rFonts w:ascii="David" w:hAnsi="David" w:cs="David"/>
          <w:color w:val="000000"/>
          <w:sz w:val="24"/>
          <w:szCs w:val="24"/>
          <w:rtl/>
        </w:rPr>
        <w:t>, אשר אף הגיש תצהיר לעניין זה.</w:t>
      </w:r>
    </w:p>
    <w:p w:rsidR="005B7874" w:rsidRDefault="005B7874" w:rsidP="005B7874">
      <w:pPr>
        <w:pStyle w:val="ad"/>
        <w:rPr>
          <w:rFonts w:ascii="David" w:hAnsi="David" w:cs="David"/>
          <w:color w:val="000000"/>
          <w:sz w:val="24"/>
          <w:szCs w:val="24"/>
        </w:rPr>
      </w:pPr>
    </w:p>
    <w:p w:rsidR="005B7874" w:rsidRDefault="005B7874" w:rsidP="005B787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בתצהירו מיום 28.9.2022 , המצ</w:t>
      </w:r>
      <w:r w:rsidR="00224BD1">
        <w:rPr>
          <w:rFonts w:ascii="David" w:hAnsi="David" w:cs="David"/>
          <w:color w:val="000000"/>
          <w:sz w:val="24"/>
          <w:szCs w:val="24"/>
          <w:rtl/>
        </w:rPr>
        <w:t xml:space="preserve">ורף לכתב התביעה, מסר ד"ר </w:t>
      </w:r>
      <w:r w:rsidR="00224BD1">
        <w:rPr>
          <w:rFonts w:ascii="David" w:hAnsi="David" w:cs="David" w:hint="cs"/>
          <w:color w:val="000000"/>
          <w:sz w:val="24"/>
          <w:szCs w:val="24"/>
        </w:rPr>
        <w:t>XXX</w:t>
      </w:r>
      <w:r>
        <w:rPr>
          <w:rFonts w:ascii="David" w:hAnsi="David" w:cs="David"/>
          <w:color w:val="000000"/>
          <w:sz w:val="24"/>
          <w:szCs w:val="24"/>
          <w:rtl/>
        </w:rPr>
        <w:t xml:space="preserve"> כי: </w:t>
      </w:r>
    </w:p>
    <w:p w:rsidR="005B7874" w:rsidRDefault="005B7874" w:rsidP="005B7874">
      <w:pPr>
        <w:pStyle w:val="ad"/>
        <w:rPr>
          <w:rFonts w:ascii="David" w:hAnsi="David" w:cs="David"/>
          <w:color w:val="000000"/>
          <w:sz w:val="24"/>
          <w:szCs w:val="24"/>
        </w:rPr>
      </w:pPr>
    </w:p>
    <w:p w:rsidR="005B7874" w:rsidRDefault="005B7874" w:rsidP="00224BD1">
      <w:pPr>
        <w:pStyle w:val="ad"/>
        <w:spacing w:line="360" w:lineRule="auto"/>
        <w:jc w:val="both"/>
        <w:rPr>
          <w:rFonts w:ascii="David" w:hAnsi="David" w:cs="David"/>
          <w:color w:val="000000"/>
          <w:sz w:val="24"/>
          <w:szCs w:val="24"/>
          <w:rtl/>
        </w:rPr>
      </w:pPr>
      <w:r>
        <w:rPr>
          <w:rFonts w:ascii="David" w:hAnsi="David" w:cs="David"/>
          <w:color w:val="000000"/>
          <w:sz w:val="24"/>
          <w:szCs w:val="24"/>
          <w:rtl/>
        </w:rPr>
        <w:t>"</w:t>
      </w:r>
      <w:r w:rsidR="00224BD1">
        <w:rPr>
          <w:rFonts w:ascii="David" w:hAnsi="David" w:cs="David"/>
          <w:b/>
          <w:bCs/>
          <w:color w:val="000000"/>
          <w:sz w:val="24"/>
          <w:szCs w:val="24"/>
          <w:rtl/>
        </w:rPr>
        <w:t xml:space="preserve">בתום הטיפול הביולוגי של </w:t>
      </w:r>
      <w:r w:rsidR="00224BD1">
        <w:rPr>
          <w:rFonts w:ascii="David" w:hAnsi="David" w:cs="David" w:hint="cs"/>
          <w:b/>
          <w:bCs/>
          <w:color w:val="000000"/>
          <w:sz w:val="24"/>
          <w:szCs w:val="24"/>
          <w:rtl/>
        </w:rPr>
        <w:t>המנוחה</w:t>
      </w:r>
      <w:r>
        <w:rPr>
          <w:rFonts w:ascii="David" w:hAnsi="David" w:cs="David"/>
          <w:b/>
          <w:bCs/>
          <w:color w:val="000000"/>
          <w:sz w:val="24"/>
          <w:szCs w:val="24"/>
          <w:rtl/>
        </w:rPr>
        <w:t xml:space="preserve">, אשר עבר בהצלחה, היה עליה לעבור השתלת מח עצם. בהכנות לקראת ההשתלה, בסוף יוני 2021, זכור לי כי הגעתי לחדרה של </w:t>
      </w:r>
      <w:r w:rsidR="00224BD1">
        <w:rPr>
          <w:rFonts w:ascii="David" w:hAnsi="David" w:cs="David" w:hint="cs"/>
          <w:b/>
          <w:bCs/>
          <w:color w:val="000000"/>
          <w:sz w:val="24"/>
          <w:szCs w:val="24"/>
          <w:rtl/>
        </w:rPr>
        <w:t>המנוחה</w:t>
      </w:r>
      <w:r w:rsidR="00224BD1">
        <w:rPr>
          <w:rFonts w:ascii="David" w:hAnsi="David" w:cs="David"/>
          <w:b/>
          <w:bCs/>
          <w:color w:val="000000"/>
          <w:sz w:val="24"/>
          <w:szCs w:val="24"/>
          <w:rtl/>
        </w:rPr>
        <w:t xml:space="preserve"> ומצאתי אותה עם אביה, שהיה לצידה. </w:t>
      </w:r>
      <w:r w:rsidR="00224BD1">
        <w:rPr>
          <w:rFonts w:ascii="David" w:hAnsi="David" w:cs="David" w:hint="cs"/>
          <w:b/>
          <w:bCs/>
          <w:color w:val="000000"/>
          <w:sz w:val="24"/>
          <w:szCs w:val="24"/>
          <w:rtl/>
        </w:rPr>
        <w:t>המנוחה</w:t>
      </w:r>
      <w:r>
        <w:rPr>
          <w:rFonts w:ascii="David" w:hAnsi="David" w:cs="David"/>
          <w:b/>
          <w:bCs/>
          <w:color w:val="000000"/>
          <w:sz w:val="24"/>
          <w:szCs w:val="24"/>
          <w:rtl/>
        </w:rPr>
        <w:t xml:space="preserve"> בכתה מאוד, </w:t>
      </w:r>
      <w:r w:rsidR="00224BD1">
        <w:rPr>
          <w:rFonts w:ascii="David" w:hAnsi="David" w:cs="David"/>
          <w:b/>
          <w:bCs/>
          <w:color w:val="000000"/>
          <w:sz w:val="24"/>
          <w:szCs w:val="24"/>
          <w:rtl/>
        </w:rPr>
        <w:t>ואמרה לאביה שהיא מפחדת למות, וא</w:t>
      </w:r>
      <w:r w:rsidR="00224BD1">
        <w:rPr>
          <w:rFonts w:ascii="David" w:hAnsi="David" w:cs="David" w:hint="cs"/>
          <w:b/>
          <w:bCs/>
          <w:color w:val="000000"/>
          <w:sz w:val="24"/>
          <w:szCs w:val="24"/>
          <w:rtl/>
        </w:rPr>
        <w:t>ב</w:t>
      </w:r>
      <w:r>
        <w:rPr>
          <w:rFonts w:ascii="David" w:hAnsi="David" w:cs="David"/>
          <w:b/>
          <w:bCs/>
          <w:color w:val="000000"/>
          <w:sz w:val="24"/>
          <w:szCs w:val="24"/>
          <w:rtl/>
        </w:rPr>
        <w:t xml:space="preserve">יה ניסה להרגיע את חששותיה, ואמר לה שיהיה בסדר, שהיא תבריא, </w:t>
      </w:r>
      <w:r w:rsidR="00224BD1">
        <w:rPr>
          <w:rFonts w:ascii="David" w:hAnsi="David" w:cs="David"/>
          <w:b/>
          <w:bCs/>
          <w:color w:val="000000"/>
          <w:sz w:val="24"/>
          <w:szCs w:val="24"/>
          <w:rtl/>
        </w:rPr>
        <w:t xml:space="preserve">תתחתן ויהיו לה הרבה ילדים. </w:t>
      </w:r>
      <w:r w:rsidR="00224BD1">
        <w:rPr>
          <w:rFonts w:ascii="David" w:hAnsi="David" w:cs="David" w:hint="cs"/>
          <w:b/>
          <w:bCs/>
          <w:color w:val="000000"/>
          <w:sz w:val="24"/>
          <w:szCs w:val="24"/>
          <w:rtl/>
        </w:rPr>
        <w:t>המנוחה</w:t>
      </w:r>
      <w:r>
        <w:rPr>
          <w:rFonts w:ascii="David" w:hAnsi="David" w:cs="David"/>
          <w:b/>
          <w:bCs/>
          <w:color w:val="000000"/>
          <w:sz w:val="24"/>
          <w:szCs w:val="24"/>
          <w:rtl/>
        </w:rPr>
        <w:t xml:space="preserve"> בכתה ואמרה ל</w:t>
      </w:r>
      <w:r w:rsidR="00224BD1">
        <w:rPr>
          <w:rFonts w:ascii="David" w:hAnsi="David" w:cs="David"/>
          <w:b/>
          <w:bCs/>
          <w:color w:val="000000"/>
          <w:sz w:val="24"/>
          <w:szCs w:val="24"/>
          <w:rtl/>
        </w:rPr>
        <w:t>אביה שאם היא תמות היא מבקשת ש</w:t>
      </w:r>
      <w:r w:rsidR="00224BD1">
        <w:rPr>
          <w:rFonts w:ascii="David" w:hAnsi="David" w:cs="David" w:hint="cs"/>
          <w:b/>
          <w:bCs/>
          <w:color w:val="000000"/>
          <w:sz w:val="24"/>
          <w:szCs w:val="24"/>
          <w:rtl/>
        </w:rPr>
        <w:t>התובע 1</w:t>
      </w:r>
      <w:r>
        <w:rPr>
          <w:rFonts w:ascii="David" w:hAnsi="David" w:cs="David"/>
          <w:b/>
          <w:bCs/>
          <w:color w:val="000000"/>
          <w:sz w:val="24"/>
          <w:szCs w:val="24"/>
          <w:rtl/>
        </w:rPr>
        <w:t xml:space="preserve"> ישתמש בביציות שלה כד</w:t>
      </w:r>
      <w:r w:rsidR="00224BD1">
        <w:rPr>
          <w:rFonts w:ascii="David" w:hAnsi="David" w:cs="David"/>
          <w:b/>
          <w:bCs/>
          <w:color w:val="000000"/>
          <w:sz w:val="24"/>
          <w:szCs w:val="24"/>
          <w:rtl/>
        </w:rPr>
        <w:t xml:space="preserve">י שיהיו להם ילדים. אביה של </w:t>
      </w:r>
      <w:r w:rsidR="00224BD1">
        <w:rPr>
          <w:rFonts w:ascii="David" w:hAnsi="David" w:cs="David" w:hint="cs"/>
          <w:b/>
          <w:bCs/>
          <w:color w:val="000000"/>
          <w:sz w:val="24"/>
          <w:szCs w:val="24"/>
          <w:rtl/>
        </w:rPr>
        <w:t>המנוחה</w:t>
      </w:r>
      <w:r>
        <w:rPr>
          <w:rFonts w:ascii="David" w:hAnsi="David" w:cs="David"/>
          <w:b/>
          <w:bCs/>
          <w:color w:val="000000"/>
          <w:sz w:val="24"/>
          <w:szCs w:val="24"/>
          <w:rtl/>
        </w:rPr>
        <w:t xml:space="preserve"> הנהן וחיבק אותה בדמעות, ושנינו ניסינו להרגיע את חש</w:t>
      </w:r>
      <w:r w:rsidR="00224BD1">
        <w:rPr>
          <w:rFonts w:ascii="David" w:hAnsi="David" w:cs="David"/>
          <w:b/>
          <w:bCs/>
          <w:color w:val="000000"/>
          <w:sz w:val="24"/>
          <w:szCs w:val="24"/>
          <w:rtl/>
        </w:rPr>
        <w:t xml:space="preserve">שותיה. אני הצטרפתי לדבריו של </w:t>
      </w:r>
      <w:r w:rsidR="00224BD1">
        <w:rPr>
          <w:rFonts w:ascii="David" w:hAnsi="David" w:cs="David" w:hint="cs"/>
          <w:b/>
          <w:bCs/>
          <w:color w:val="000000"/>
          <w:sz w:val="24"/>
          <w:szCs w:val="24"/>
          <w:rtl/>
        </w:rPr>
        <w:t>האב</w:t>
      </w:r>
      <w:r>
        <w:rPr>
          <w:rFonts w:ascii="David" w:hAnsi="David" w:cs="David"/>
          <w:b/>
          <w:bCs/>
          <w:color w:val="000000"/>
          <w:sz w:val="24"/>
          <w:szCs w:val="24"/>
          <w:rtl/>
        </w:rPr>
        <w:t xml:space="preserve"> ואמרתי לה שלא תדאג ושנעשה הכל כדי שהטיפול יצליח והיא תבריא".</w:t>
      </w:r>
    </w:p>
    <w:p w:rsidR="005B7874" w:rsidRDefault="005B7874" w:rsidP="005B7874">
      <w:pPr>
        <w:pStyle w:val="ad"/>
        <w:rPr>
          <w:rFonts w:ascii="David" w:hAnsi="David" w:cs="David"/>
          <w:color w:val="000000"/>
          <w:sz w:val="24"/>
          <w:szCs w:val="24"/>
        </w:rPr>
      </w:pPr>
    </w:p>
    <w:p w:rsidR="005B7874" w:rsidRDefault="005B7874" w:rsidP="005B7874">
      <w:pPr>
        <w:pStyle w:val="ad"/>
        <w:numPr>
          <w:ilvl w:val="0"/>
          <w:numId w:val="1"/>
        </w:numPr>
        <w:spacing w:line="360" w:lineRule="auto"/>
        <w:jc w:val="both"/>
        <w:rPr>
          <w:rFonts w:ascii="David" w:hAnsi="David" w:cs="David"/>
          <w:sz w:val="24"/>
          <w:szCs w:val="24"/>
          <w:rtl/>
        </w:rPr>
      </w:pPr>
      <w:r w:rsidRPr="00946190">
        <w:rPr>
          <w:rFonts w:ascii="David" w:hAnsi="David" w:cs="David"/>
          <w:b/>
          <w:bCs/>
          <w:sz w:val="24"/>
          <w:szCs w:val="24"/>
          <w:rtl/>
        </w:rPr>
        <w:t>תקנה 10(ד) לתקנות בריאות העם</w:t>
      </w:r>
      <w:r>
        <w:rPr>
          <w:rFonts w:ascii="David" w:hAnsi="David" w:cs="David"/>
          <w:sz w:val="24"/>
          <w:szCs w:val="24"/>
          <w:rtl/>
        </w:rPr>
        <w:t xml:space="preserve"> קובעת כי </w:t>
      </w:r>
      <w:r>
        <w:rPr>
          <w:rFonts w:ascii="David" w:hAnsi="David" w:cs="David"/>
          <w:color w:val="000000"/>
          <w:sz w:val="24"/>
          <w:szCs w:val="24"/>
        </w:rPr>
        <w:t>"</w:t>
      </w:r>
      <w:r>
        <w:rPr>
          <w:rFonts w:ascii="David" w:hAnsi="David" w:cs="David"/>
          <w:b/>
          <w:bCs/>
          <w:color w:val="000000"/>
          <w:sz w:val="24"/>
          <w:szCs w:val="24"/>
          <w:rtl/>
        </w:rPr>
        <w:t>ביצית, לרבות ביצית מופרית, שנטלה מאישה פנויה שנפטרה, לא תשתל באישה אחרת אלא אם כן, טרם פטירתה, נתנה התורמת הסכמה לתרומת הביצית</w:t>
      </w:r>
      <w:r>
        <w:rPr>
          <w:rFonts w:ascii="David" w:hAnsi="David" w:cs="David"/>
          <w:color w:val="000000"/>
          <w:sz w:val="24"/>
          <w:szCs w:val="24"/>
        </w:rPr>
        <w:t>" </w:t>
      </w:r>
      <w:r>
        <w:rPr>
          <w:rFonts w:ascii="David" w:hAnsi="David" w:cs="David"/>
          <w:color w:val="000000"/>
          <w:sz w:val="24"/>
          <w:szCs w:val="24"/>
          <w:rtl/>
        </w:rPr>
        <w:t>.</w:t>
      </w:r>
    </w:p>
    <w:p w:rsidR="005B7874" w:rsidRDefault="005B7874" w:rsidP="005B7874">
      <w:pPr>
        <w:spacing w:line="360" w:lineRule="auto"/>
        <w:ind w:firstLine="720"/>
        <w:jc w:val="both"/>
        <w:rPr>
          <w:rFonts w:ascii="David" w:hAnsi="David"/>
          <w:color w:val="000000"/>
          <w:rtl/>
        </w:rPr>
      </w:pPr>
      <w:r w:rsidRPr="00946190">
        <w:rPr>
          <w:rFonts w:ascii="David" w:hAnsi="David"/>
          <w:b/>
          <w:bCs/>
          <w:color w:val="000000"/>
          <w:rtl/>
        </w:rPr>
        <w:t>תקנה 14(ג)(א)</w:t>
      </w:r>
      <w:r>
        <w:rPr>
          <w:rFonts w:ascii="David" w:hAnsi="David"/>
          <w:color w:val="000000"/>
          <w:rtl/>
        </w:rPr>
        <w:t xml:space="preserve"> לתקנות אלו קובעת כי הסכמה זו צריכה להינתן בכתב ובנוכחות רופא.</w:t>
      </w:r>
    </w:p>
    <w:p w:rsidR="00946190" w:rsidRDefault="00946190" w:rsidP="005B7874">
      <w:pPr>
        <w:spacing w:line="360" w:lineRule="auto"/>
        <w:ind w:firstLine="720"/>
        <w:jc w:val="both"/>
        <w:rPr>
          <w:rFonts w:ascii="David" w:hAnsi="David"/>
          <w:color w:val="000000"/>
          <w:rtl/>
        </w:rPr>
      </w:pPr>
    </w:p>
    <w:p w:rsidR="005B7874" w:rsidRDefault="005B7874" w:rsidP="005B787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ל</w:t>
      </w:r>
      <w:r w:rsidR="00224BD1">
        <w:rPr>
          <w:rFonts w:ascii="David" w:hAnsi="David" w:cs="David"/>
          <w:color w:val="000000"/>
          <w:sz w:val="24"/>
          <w:szCs w:val="24"/>
          <w:rtl/>
        </w:rPr>
        <w:t xml:space="preserve">דידי, די בתצהירו של ד"ר </w:t>
      </w:r>
      <w:r w:rsidR="00224BD1">
        <w:rPr>
          <w:rFonts w:ascii="David" w:hAnsi="David" w:cs="David" w:hint="cs"/>
          <w:color w:val="000000"/>
          <w:sz w:val="24"/>
          <w:szCs w:val="24"/>
        </w:rPr>
        <w:t>XXX</w:t>
      </w:r>
      <w:r w:rsidR="00224BD1">
        <w:rPr>
          <w:rFonts w:ascii="David" w:hAnsi="David" w:cs="David" w:hint="cs"/>
          <w:color w:val="000000"/>
          <w:sz w:val="24"/>
          <w:szCs w:val="24"/>
          <w:rtl/>
        </w:rPr>
        <w:t xml:space="preserve"> </w:t>
      </w:r>
      <w:r>
        <w:rPr>
          <w:rFonts w:ascii="David" w:hAnsi="David" w:cs="David"/>
          <w:color w:val="000000"/>
          <w:sz w:val="24"/>
          <w:szCs w:val="24"/>
          <w:rtl/>
        </w:rPr>
        <w:t>על מנת להוכיח לא רק את הסכמתה של המנוחה אלא את רצונה הברור והמפורש לכך שהתובע 1 יעשה שימוש בביציותיה לצורך הבאת ילדים לעולם.</w:t>
      </w:r>
    </w:p>
    <w:p w:rsidR="005B7874" w:rsidRDefault="005B7874" w:rsidP="005B7874">
      <w:pPr>
        <w:spacing w:line="360" w:lineRule="auto"/>
        <w:ind w:firstLine="720"/>
        <w:jc w:val="both"/>
        <w:rPr>
          <w:rFonts w:ascii="David" w:hAnsi="David"/>
          <w:color w:val="000000"/>
          <w:rtl/>
        </w:rPr>
      </w:pPr>
      <w:r>
        <w:rPr>
          <w:rFonts w:ascii="David" w:hAnsi="David"/>
          <w:color w:val="000000"/>
          <w:rtl/>
        </w:rPr>
        <w:t>בנסיבות אלו סבורני כי אין כל מניעה להיעתר לבקשת התובעים.</w:t>
      </w:r>
    </w:p>
    <w:p w:rsidR="00946190" w:rsidRDefault="00946190" w:rsidP="005B7874">
      <w:pPr>
        <w:spacing w:line="360" w:lineRule="auto"/>
        <w:ind w:firstLine="720"/>
        <w:jc w:val="both"/>
        <w:rPr>
          <w:rFonts w:ascii="David" w:hAnsi="David"/>
          <w:color w:val="000000"/>
          <w:rtl/>
        </w:rPr>
      </w:pPr>
    </w:p>
    <w:p w:rsidR="005B7874" w:rsidRDefault="005B7874" w:rsidP="005B787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lastRenderedPageBreak/>
        <w:t>לא נעלמה מעיני טענת ב"כ היועמ"ש אשר לשאלות המשפטיות שעשויות להעלות לאחר השלמת התהליך ולידת הילד, אולם סבורני כי אין די בכך על מנת לדחות את הבקשה דנן</w:t>
      </w:r>
      <w:r w:rsidR="00946190">
        <w:rPr>
          <w:rFonts w:ascii="David" w:hAnsi="David" w:cs="David" w:hint="cs"/>
          <w:color w:val="000000"/>
          <w:sz w:val="24"/>
          <w:szCs w:val="24"/>
          <w:rtl/>
        </w:rPr>
        <w:t xml:space="preserve"> וכי, כפי שיפורט להלן, סוגיות אלו יתבררו בבוא העת</w:t>
      </w:r>
      <w:r>
        <w:rPr>
          <w:rFonts w:ascii="David" w:hAnsi="David" w:cs="David"/>
          <w:color w:val="000000"/>
          <w:sz w:val="24"/>
          <w:szCs w:val="24"/>
          <w:rtl/>
        </w:rPr>
        <w:t>.</w:t>
      </w:r>
    </w:p>
    <w:p w:rsidR="005B7874" w:rsidRDefault="005B7874" w:rsidP="005B7874">
      <w:pPr>
        <w:spacing w:line="360" w:lineRule="auto"/>
        <w:ind w:left="720"/>
        <w:jc w:val="both"/>
        <w:rPr>
          <w:rFonts w:ascii="David" w:hAnsi="David"/>
          <w:color w:val="000000"/>
          <w:rtl/>
        </w:rPr>
      </w:pPr>
      <w:r>
        <w:rPr>
          <w:rFonts w:ascii="David" w:hAnsi="David"/>
          <w:color w:val="000000"/>
          <w:rtl/>
        </w:rPr>
        <w:t>ברי</w:t>
      </w:r>
      <w:r w:rsidR="00946190">
        <w:rPr>
          <w:rFonts w:ascii="David" w:hAnsi="David" w:hint="cs"/>
          <w:color w:val="000000"/>
          <w:rtl/>
        </w:rPr>
        <w:t>,</w:t>
      </w:r>
      <w:r>
        <w:rPr>
          <w:rFonts w:ascii="David" w:hAnsi="David"/>
          <w:color w:val="000000"/>
          <w:rtl/>
        </w:rPr>
        <w:t xml:space="preserve"> כי אין התובע 1 יכול לעשות שימוש בביציות המנוחה לבדו ויש צורך באם פונדקאית לשאת את ההיריון וללדת את</w:t>
      </w:r>
      <w:r w:rsidR="006226D9">
        <w:rPr>
          <w:rFonts w:ascii="David" w:hAnsi="David"/>
          <w:color w:val="000000"/>
          <w:rtl/>
        </w:rPr>
        <w:t xml:space="preserve"> הילד. חוק ה</w:t>
      </w:r>
      <w:r w:rsidR="006226D9">
        <w:rPr>
          <w:rFonts w:ascii="David" w:hAnsi="David" w:hint="cs"/>
          <w:color w:val="000000"/>
          <w:rtl/>
        </w:rPr>
        <w:t>פונדקאות</w:t>
      </w:r>
      <w:r>
        <w:rPr>
          <w:rFonts w:ascii="David" w:hAnsi="David"/>
          <w:color w:val="000000"/>
          <w:rtl/>
        </w:rPr>
        <w:t xml:space="preserve"> מסדיר את מעמדה של האם הנושאת כלפי הילוד.</w:t>
      </w:r>
    </w:p>
    <w:p w:rsidR="005B7874" w:rsidRDefault="005B7874" w:rsidP="00DE5F22">
      <w:pPr>
        <w:spacing w:line="360" w:lineRule="auto"/>
        <w:ind w:left="720"/>
        <w:jc w:val="both"/>
        <w:rPr>
          <w:rFonts w:ascii="David" w:hAnsi="David"/>
          <w:color w:val="000000"/>
          <w:rtl/>
        </w:rPr>
      </w:pPr>
      <w:r>
        <w:rPr>
          <w:rFonts w:ascii="David" w:hAnsi="David"/>
          <w:color w:val="000000"/>
          <w:rtl/>
        </w:rPr>
        <w:t xml:space="preserve">בעקבות </w:t>
      </w:r>
      <w:r w:rsidRPr="00946190">
        <w:rPr>
          <w:rFonts w:ascii="David" w:hAnsi="David"/>
          <w:b/>
          <w:bCs/>
          <w:color w:val="000000"/>
          <w:rtl/>
        </w:rPr>
        <w:t>בגץ 781/15 ארד- פנקס נ'</w:t>
      </w:r>
      <w:r w:rsidRPr="00946190">
        <w:rPr>
          <w:rFonts w:ascii="David" w:hAnsi="David"/>
          <w:b/>
          <w:bCs/>
          <w:color w:val="000000"/>
        </w:rPr>
        <w:t xml:space="preserve"> </w:t>
      </w:r>
      <w:r w:rsidRPr="00946190">
        <w:rPr>
          <w:rFonts w:ascii="David" w:hAnsi="David"/>
          <w:b/>
          <w:bCs/>
          <w:color w:val="000000"/>
          <w:rtl/>
        </w:rPr>
        <w:t xml:space="preserve">הועדה לאישור הסכמים לנשיאת עוברים (מיום 11.7.2021) </w:t>
      </w:r>
      <w:r>
        <w:rPr>
          <w:rFonts w:ascii="David" w:hAnsi="David"/>
          <w:color w:val="000000"/>
          <w:rtl/>
        </w:rPr>
        <w:t>מתאפשר כיום</w:t>
      </w:r>
      <w:r w:rsidR="0027672B">
        <w:rPr>
          <w:rFonts w:ascii="David" w:hAnsi="David" w:hint="cs"/>
          <w:color w:val="000000"/>
          <w:rtl/>
        </w:rPr>
        <w:t xml:space="preserve"> בארץ</w:t>
      </w:r>
      <w:r>
        <w:rPr>
          <w:rFonts w:ascii="David" w:hAnsi="David"/>
          <w:color w:val="000000"/>
          <w:rtl/>
        </w:rPr>
        <w:t xml:space="preserve"> גם לגברים יחידנים </w:t>
      </w:r>
      <w:r w:rsidR="00DE5F22">
        <w:rPr>
          <w:rFonts w:ascii="David" w:hAnsi="David" w:hint="cs"/>
          <w:color w:val="000000"/>
          <w:rtl/>
        </w:rPr>
        <w:t>גישה להליכי פונדקאות</w:t>
      </w:r>
      <w:r w:rsidR="00445E3D">
        <w:rPr>
          <w:rFonts w:ascii="David" w:hAnsi="David" w:hint="cs"/>
          <w:color w:val="000000"/>
          <w:rtl/>
        </w:rPr>
        <w:t xml:space="preserve"> לצורך </w:t>
      </w:r>
      <w:r w:rsidR="00DE5F22">
        <w:rPr>
          <w:rFonts w:ascii="David" w:hAnsi="David" w:hint="cs"/>
          <w:color w:val="000000"/>
          <w:rtl/>
        </w:rPr>
        <w:t>הבאת ילדים לעולם באמצעות תרומת ביצית.</w:t>
      </w:r>
    </w:p>
    <w:p w:rsidR="00E7038B" w:rsidRDefault="00E7038B" w:rsidP="005B7874">
      <w:pPr>
        <w:spacing w:line="360" w:lineRule="auto"/>
        <w:ind w:left="720"/>
        <w:jc w:val="both"/>
        <w:rPr>
          <w:rFonts w:ascii="David" w:hAnsi="David"/>
          <w:color w:val="000000"/>
          <w:rtl/>
        </w:rPr>
      </w:pPr>
    </w:p>
    <w:p w:rsidR="005B7874" w:rsidRDefault="006226D9" w:rsidP="005B7874">
      <w:pPr>
        <w:spacing w:line="360" w:lineRule="auto"/>
        <w:ind w:left="720"/>
        <w:jc w:val="both"/>
        <w:rPr>
          <w:rFonts w:ascii="David" w:hAnsi="David"/>
          <w:color w:val="000000"/>
          <w:rtl/>
        </w:rPr>
      </w:pPr>
      <w:r>
        <w:rPr>
          <w:rFonts w:ascii="David" w:hAnsi="David" w:hint="cs"/>
          <w:color w:val="000000"/>
          <w:rtl/>
        </w:rPr>
        <w:t xml:space="preserve">כפי שצוין בעמדת ב"כ היועמ"ש, </w:t>
      </w:r>
      <w:r w:rsidR="005B7874">
        <w:rPr>
          <w:rFonts w:ascii="David" w:hAnsi="David"/>
          <w:color w:val="000000"/>
          <w:rtl/>
        </w:rPr>
        <w:t>ככל שהתובע 1 יבקש לפנות להליך פונדקאות בישראל, יהא עליו לפעול בהתאם לתנאים הקבועים בחוק הפונדקאות, לרבות, פניה לועדת האישורים והגשת בקשה לצו הורות לאחר ההולדה.</w:t>
      </w:r>
    </w:p>
    <w:p w:rsidR="005B7874" w:rsidRDefault="005B7874" w:rsidP="005B7874">
      <w:pPr>
        <w:spacing w:line="360" w:lineRule="auto"/>
        <w:ind w:left="720"/>
        <w:jc w:val="both"/>
        <w:rPr>
          <w:rFonts w:ascii="David" w:hAnsi="David"/>
          <w:color w:val="000000"/>
          <w:rtl/>
        </w:rPr>
      </w:pPr>
      <w:r>
        <w:rPr>
          <w:rFonts w:ascii="David" w:hAnsi="David"/>
          <w:color w:val="000000"/>
          <w:rtl/>
        </w:rPr>
        <w:t>ככל שהתובע יבחר לנקוט בהליך פונדקאות בחו"ל, יהא עליו לוודא חוקיות ההליך במדינה בה יבוצע.</w:t>
      </w:r>
    </w:p>
    <w:p w:rsidR="00E7038B" w:rsidRDefault="00E7038B" w:rsidP="005B7874">
      <w:pPr>
        <w:spacing w:line="360" w:lineRule="auto"/>
        <w:ind w:left="720"/>
        <w:jc w:val="both"/>
        <w:rPr>
          <w:rFonts w:ascii="David" w:hAnsi="David"/>
          <w:color w:val="000000"/>
          <w:rtl/>
        </w:rPr>
      </w:pPr>
    </w:p>
    <w:p w:rsidR="005B7874" w:rsidRPr="00E7038B" w:rsidRDefault="005B7874" w:rsidP="00E7038B">
      <w:pPr>
        <w:pStyle w:val="ad"/>
        <w:numPr>
          <w:ilvl w:val="0"/>
          <w:numId w:val="1"/>
        </w:numPr>
        <w:spacing w:line="360" w:lineRule="auto"/>
        <w:jc w:val="both"/>
        <w:rPr>
          <w:rFonts w:ascii="David" w:hAnsi="David" w:cs="David"/>
          <w:color w:val="000000"/>
          <w:sz w:val="24"/>
          <w:szCs w:val="24"/>
          <w:rtl/>
        </w:rPr>
      </w:pPr>
      <w:r w:rsidRPr="00E7038B">
        <w:rPr>
          <w:rFonts w:ascii="David" w:hAnsi="David" w:cs="David"/>
          <w:color w:val="000000"/>
          <w:sz w:val="24"/>
          <w:szCs w:val="24"/>
          <w:rtl/>
        </w:rPr>
        <w:t>יחד עם זאת, בין אם התובע 1 יבחר לבצע ההליך בארץ או בחו"ל,  בהמשך הדרך, ולאחר ההולדה והכרה בהורותו של התובע כלפי היילוד</w:t>
      </w:r>
      <w:r w:rsidRPr="00E7038B">
        <w:rPr>
          <w:rFonts w:ascii="David" w:hAnsi="David" w:cs="David"/>
          <w:sz w:val="24"/>
          <w:szCs w:val="24"/>
          <w:rtl/>
        </w:rPr>
        <w:t xml:space="preserve"> (</w:t>
      </w:r>
      <w:r w:rsidRPr="00E7038B">
        <w:rPr>
          <w:rFonts w:ascii="David" w:hAnsi="David" w:cs="David"/>
          <w:color w:val="000000"/>
          <w:sz w:val="24"/>
          <w:szCs w:val="24"/>
          <w:rtl/>
        </w:rPr>
        <w:t xml:space="preserve">בית המשפט מביע תקווה עמוקה כי ההליך יצלח בסופו של יום), יוכל התובע 1 להגיש בקשה לצו הורות פסיקתי לכינון הורותה של המנוחה כלפי היילוד, </w:t>
      </w:r>
      <w:r w:rsidR="00946190" w:rsidRPr="00E7038B">
        <w:rPr>
          <w:rFonts w:ascii="David" w:hAnsi="David" w:cs="David"/>
          <w:color w:val="000000"/>
          <w:sz w:val="24"/>
          <w:szCs w:val="24"/>
          <w:rtl/>
        </w:rPr>
        <w:t xml:space="preserve">וזאת </w:t>
      </w:r>
      <w:r w:rsidR="006226D9" w:rsidRPr="00E7038B">
        <w:rPr>
          <w:rFonts w:ascii="David" w:hAnsi="David" w:cs="David"/>
          <w:color w:val="000000"/>
          <w:sz w:val="24"/>
          <w:szCs w:val="24"/>
          <w:rtl/>
        </w:rPr>
        <w:t xml:space="preserve">בשים לב </w:t>
      </w:r>
      <w:r w:rsidRPr="00E7038B">
        <w:rPr>
          <w:rFonts w:ascii="David" w:hAnsi="David" w:cs="David"/>
          <w:color w:val="000000"/>
          <w:sz w:val="24"/>
          <w:szCs w:val="24"/>
          <w:rtl/>
        </w:rPr>
        <w:t>לקשר הגנטי בין המנוחה ליילוד. או אז יהא צורך להכריע בשאלת אופן כינון הורותה של המנוחה כלפי היילוד בהתאם לנסיבות דנן.</w:t>
      </w:r>
    </w:p>
    <w:p w:rsidR="006226D9" w:rsidRDefault="006226D9" w:rsidP="005B7874">
      <w:pPr>
        <w:spacing w:line="360" w:lineRule="auto"/>
        <w:ind w:left="720"/>
        <w:jc w:val="both"/>
        <w:rPr>
          <w:rFonts w:ascii="David" w:hAnsi="David"/>
          <w:color w:val="000000"/>
          <w:rtl/>
        </w:rPr>
      </w:pPr>
    </w:p>
    <w:p w:rsidR="006226D9" w:rsidRDefault="006226D9" w:rsidP="005B7874">
      <w:pPr>
        <w:spacing w:line="360" w:lineRule="auto"/>
        <w:ind w:left="720"/>
        <w:jc w:val="both"/>
        <w:rPr>
          <w:rFonts w:ascii="David" w:hAnsi="David"/>
          <w:color w:val="000000"/>
          <w:rtl/>
        </w:rPr>
      </w:pPr>
      <w:r>
        <w:rPr>
          <w:rFonts w:ascii="David" w:hAnsi="David" w:hint="cs"/>
          <w:color w:val="000000"/>
          <w:rtl/>
        </w:rPr>
        <w:t>אך, כאמור, סוגיה זו תיבחן בבוא העת.</w:t>
      </w:r>
    </w:p>
    <w:p w:rsidR="00A141A7" w:rsidRDefault="00A141A7" w:rsidP="005B7874">
      <w:pPr>
        <w:spacing w:line="360" w:lineRule="auto"/>
        <w:ind w:left="720"/>
        <w:jc w:val="both"/>
        <w:rPr>
          <w:rFonts w:ascii="David" w:hAnsi="David"/>
          <w:color w:val="000000"/>
          <w:rtl/>
        </w:rPr>
      </w:pPr>
    </w:p>
    <w:p w:rsidR="00A141A7" w:rsidRDefault="005B7874" w:rsidP="0000782F">
      <w:pPr>
        <w:spacing w:line="360" w:lineRule="auto"/>
        <w:jc w:val="both"/>
        <w:rPr>
          <w:rFonts w:ascii="David" w:hAnsi="David"/>
          <w:b/>
          <w:bCs/>
          <w:sz w:val="28"/>
          <w:szCs w:val="28"/>
          <w:rtl/>
        </w:rPr>
      </w:pPr>
      <w:r w:rsidRPr="00A141A7">
        <w:rPr>
          <w:rFonts w:ascii="David" w:hAnsi="David"/>
          <w:b/>
          <w:bCs/>
          <w:sz w:val="28"/>
          <w:szCs w:val="28"/>
          <w:rtl/>
        </w:rPr>
        <w:t>סוף דבר</w:t>
      </w:r>
    </w:p>
    <w:p w:rsidR="0027672B" w:rsidRPr="00A141A7" w:rsidRDefault="0027672B" w:rsidP="0000782F">
      <w:pPr>
        <w:spacing w:line="360" w:lineRule="auto"/>
        <w:jc w:val="both"/>
        <w:rPr>
          <w:rFonts w:ascii="David" w:hAnsi="David"/>
          <w:b/>
          <w:bCs/>
          <w:sz w:val="28"/>
          <w:szCs w:val="28"/>
          <w:rtl/>
        </w:rPr>
      </w:pPr>
    </w:p>
    <w:p w:rsidR="005B7874" w:rsidRDefault="005B7874" w:rsidP="005B787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לאור האמור, </w:t>
      </w:r>
      <w:r w:rsidR="006226D9">
        <w:rPr>
          <w:rFonts w:ascii="David" w:hAnsi="David" w:cs="David" w:hint="cs"/>
          <w:sz w:val="24"/>
          <w:szCs w:val="24"/>
          <w:rtl/>
        </w:rPr>
        <w:t xml:space="preserve">ונוכח עמדת הנתבעים, </w:t>
      </w:r>
      <w:r>
        <w:rPr>
          <w:rFonts w:ascii="David" w:hAnsi="David" w:cs="David"/>
          <w:sz w:val="24"/>
          <w:szCs w:val="24"/>
          <w:rtl/>
        </w:rPr>
        <w:t>מצאתי להעתר לסעד המבוקש וליתן צו המתיר עשיית שימוש בביציותיה של המנוחה לצורך הפרייתן ע"י זרעו של התובע 1.</w:t>
      </w:r>
    </w:p>
    <w:p w:rsidR="0027672B" w:rsidRDefault="0027672B" w:rsidP="0027672B">
      <w:pPr>
        <w:pStyle w:val="ad"/>
        <w:spacing w:line="360" w:lineRule="auto"/>
        <w:jc w:val="both"/>
        <w:rPr>
          <w:rFonts w:ascii="David" w:hAnsi="David" w:cs="David"/>
          <w:sz w:val="24"/>
          <w:szCs w:val="24"/>
          <w:rtl/>
        </w:rPr>
      </w:pPr>
    </w:p>
    <w:p w:rsidR="005B7874" w:rsidRDefault="00946190" w:rsidP="005B787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 התובעים </w:t>
      </w:r>
      <w:r>
        <w:rPr>
          <w:rFonts w:ascii="David" w:hAnsi="David" w:cs="David" w:hint="cs"/>
          <w:sz w:val="24"/>
          <w:szCs w:val="24"/>
          <w:rtl/>
        </w:rPr>
        <w:t>רשאית להמציא</w:t>
      </w:r>
      <w:r w:rsidR="005B7874">
        <w:rPr>
          <w:rFonts w:ascii="David" w:hAnsi="David" w:cs="David"/>
          <w:sz w:val="24"/>
          <w:szCs w:val="24"/>
          <w:rtl/>
        </w:rPr>
        <w:t xml:space="preserve"> פסיקתא מתאימה לחתימת בית המשפט.</w:t>
      </w:r>
    </w:p>
    <w:p w:rsidR="0027672B" w:rsidRPr="0027672B" w:rsidRDefault="0027672B" w:rsidP="0027672B">
      <w:pPr>
        <w:pStyle w:val="ad"/>
        <w:rPr>
          <w:rFonts w:ascii="David" w:hAnsi="David" w:cs="David"/>
          <w:sz w:val="24"/>
          <w:szCs w:val="24"/>
          <w:rtl/>
        </w:rPr>
      </w:pPr>
    </w:p>
    <w:p w:rsidR="005B7874" w:rsidRDefault="005B7874" w:rsidP="005B7874">
      <w:pPr>
        <w:pStyle w:val="ad"/>
        <w:numPr>
          <w:ilvl w:val="0"/>
          <w:numId w:val="1"/>
        </w:numPr>
        <w:spacing w:line="360" w:lineRule="auto"/>
        <w:jc w:val="both"/>
        <w:rPr>
          <w:rFonts w:ascii="David" w:hAnsi="David" w:cs="David"/>
          <w:sz w:val="24"/>
          <w:szCs w:val="24"/>
        </w:rPr>
      </w:pPr>
      <w:r>
        <w:rPr>
          <w:rFonts w:ascii="David" w:hAnsi="David" w:cs="David"/>
          <w:sz w:val="24"/>
          <w:szCs w:val="24"/>
          <w:rtl/>
        </w:rPr>
        <w:t>בית המשפט שולח תנחומיו הכנים למשפחה על האבדן הקשה מנשוא ומאחל הצלחה בהמשך התהליך.</w:t>
      </w:r>
    </w:p>
    <w:p w:rsidR="006226D9" w:rsidRDefault="006226D9" w:rsidP="006226D9">
      <w:pPr>
        <w:pStyle w:val="ad"/>
        <w:spacing w:line="360" w:lineRule="auto"/>
        <w:jc w:val="both"/>
        <w:rPr>
          <w:rFonts w:ascii="David" w:hAnsi="David" w:cs="David"/>
          <w:sz w:val="24"/>
          <w:szCs w:val="24"/>
        </w:rPr>
      </w:pPr>
    </w:p>
    <w:p w:rsidR="00A141A7" w:rsidRDefault="005B7874" w:rsidP="0000782F">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המזכירות תסגור את התיק.</w:t>
      </w:r>
    </w:p>
    <w:p w:rsidR="006226D9" w:rsidRPr="006226D9" w:rsidRDefault="006226D9" w:rsidP="006226D9">
      <w:pPr>
        <w:pStyle w:val="ad"/>
        <w:rPr>
          <w:rFonts w:ascii="David" w:hAnsi="David" w:cs="David"/>
          <w:sz w:val="24"/>
          <w:szCs w:val="24"/>
          <w:rtl/>
        </w:rPr>
      </w:pPr>
    </w:p>
    <w:p w:rsidR="006226D9" w:rsidRPr="006226D9" w:rsidRDefault="006226D9" w:rsidP="006226D9">
      <w:pPr>
        <w:spacing w:line="360" w:lineRule="auto"/>
        <w:jc w:val="both"/>
        <w:rPr>
          <w:rFonts w:ascii="David" w:hAnsi="David"/>
        </w:rPr>
      </w:pPr>
    </w:p>
    <w:p w:rsidR="002914D6" w:rsidRDefault="005B7874" w:rsidP="0000782F">
      <w:pPr>
        <w:spacing w:line="360" w:lineRule="auto"/>
        <w:ind w:left="360"/>
        <w:jc w:val="both"/>
        <w:rPr>
          <w:rFonts w:ascii="David" w:hAnsi="David"/>
          <w:rtl/>
        </w:rPr>
      </w:pPr>
      <w:r>
        <w:rPr>
          <w:rFonts w:ascii="David" w:hAnsi="David"/>
          <w:rtl/>
        </w:rPr>
        <w:t>מתירה פרסום פסק הדין ללא פרטים מזהים.</w:t>
      </w:r>
    </w:p>
    <w:p w:rsidR="0000782F" w:rsidRDefault="0000782F" w:rsidP="0000782F">
      <w:pPr>
        <w:spacing w:line="360" w:lineRule="auto"/>
        <w:ind w:left="360"/>
        <w:jc w:val="both"/>
        <w:rPr>
          <w:rFonts w:ascii="David" w:hAnsi="David"/>
          <w:rtl/>
        </w:rPr>
      </w:pPr>
    </w:p>
    <w:p w:rsidR="006226D9" w:rsidRDefault="006226D9" w:rsidP="0000782F">
      <w:pPr>
        <w:spacing w:line="360" w:lineRule="auto"/>
        <w:ind w:left="360"/>
        <w:jc w:val="both"/>
        <w:rPr>
          <w:rFonts w:ascii="David" w:hAnsi="David"/>
          <w:rtl/>
        </w:rPr>
      </w:pPr>
    </w:p>
    <w:p w:rsidR="006226D9" w:rsidRPr="0000782F" w:rsidRDefault="006226D9" w:rsidP="0000782F">
      <w:pPr>
        <w:spacing w:line="360" w:lineRule="auto"/>
        <w:ind w:left="360"/>
        <w:jc w:val="both"/>
        <w:rPr>
          <w:rFonts w:ascii="David" w:hAnsi="David"/>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ו' תמוז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25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13A26" w:rsidP="0000782F">
      <w:pPr>
        <w:spacing w:line="360" w:lineRule="auto"/>
        <w:ind w:left="3600" w:firstLine="720"/>
        <w:jc w:val="both"/>
      </w:pPr>
      <w:sdt>
        <w:sdtPr>
          <w:rPr>
            <w:rtl/>
          </w:rPr>
          <w:alias w:val="MergeField"/>
          <w:tag w:val="1237"/>
          <w:id w:val="250174336"/>
        </w:sdtPr>
        <w:sdtEndPr/>
        <w:sdtContent>
          <w:r w:rsidR="00CB1509">
            <w:drawing>
              <wp:inline distT="0" distB="0" distL="0" distR="0" wp14:editId="50D07946">
                <wp:extent cx="140970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09700" cy="850900"/>
                        </a:xfrm>
                        <a:prstGeom prst="rect">
                          <a:avLst/>
                        </a:prstGeom>
                      </pic:spPr>
                    </pic:pic>
                  </a:graphicData>
                </a:graphic>
              </wp:inline>
            </w:drawing>
          </w:r>
        </w:sdtContent>
      </w:sdt>
    </w:p>
    <w:p w:rsidR="002914D6" w:rsidRDefault="002914D6" w:rsidP="0000782F">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509" w:rsidRDefault="00CB1509">
      <w:r>
        <w:separator/>
      </w:r>
    </w:p>
  </w:endnote>
  <w:endnote w:type="continuationSeparator" w:id="0">
    <w:p w:rsidR="00CB1509" w:rsidRDefault="00CB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C5" w:rsidRDefault="005A43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13A2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13A26">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C5" w:rsidRDefault="005A43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509" w:rsidRDefault="00CB1509">
      <w:r>
        <w:separator/>
      </w:r>
    </w:p>
  </w:footnote>
  <w:footnote w:type="continuationSeparator" w:id="0">
    <w:p w:rsidR="00CB1509" w:rsidRDefault="00CB1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C5" w:rsidRDefault="005A43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13A26" w:rsidP="00FB07DE">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15949-11-22</w:t>
              </w:r>
            </w:sdtContent>
          </w:sdt>
          <w:r w:rsidR="00011212">
            <w:rPr>
              <w:b/>
              <w:bCs/>
              <w:noProof w:val="0"/>
              <w:sz w:val="26"/>
              <w:szCs w:val="26"/>
              <w:rtl/>
            </w:rPr>
            <w:t xml:space="preserve"> </w:t>
          </w:r>
          <w:sdt>
            <w:sdtPr>
              <w:rPr>
                <w:rtl/>
              </w:rPr>
              <w:alias w:val="1172"/>
              <w:tag w:val="1172"/>
              <w:id w:val="-673653942"/>
              <w:showingPlcHdr/>
              <w:text w:multiLine="1"/>
            </w:sdtPr>
            <w:sdtEndPr/>
            <w:sdtContent>
              <w:r w:rsidR="00FB07DE">
                <w:rPr>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C5" w:rsidRDefault="005A43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67"/>
    <w:multiLevelType w:val="hybridMultilevel"/>
    <w:tmpl w:val="33329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782F"/>
    <w:rsid w:val="00011212"/>
    <w:rsid w:val="000D547A"/>
    <w:rsid w:val="000E05DB"/>
    <w:rsid w:val="00224BD1"/>
    <w:rsid w:val="00265648"/>
    <w:rsid w:val="0027672B"/>
    <w:rsid w:val="002914D6"/>
    <w:rsid w:val="002F5307"/>
    <w:rsid w:val="00445E3D"/>
    <w:rsid w:val="005A43C5"/>
    <w:rsid w:val="005B7874"/>
    <w:rsid w:val="005C25A8"/>
    <w:rsid w:val="006226D9"/>
    <w:rsid w:val="00666802"/>
    <w:rsid w:val="006C4051"/>
    <w:rsid w:val="006F597A"/>
    <w:rsid w:val="007C1077"/>
    <w:rsid w:val="007C6BD7"/>
    <w:rsid w:val="00822AA5"/>
    <w:rsid w:val="0091072C"/>
    <w:rsid w:val="009108D7"/>
    <w:rsid w:val="00946190"/>
    <w:rsid w:val="00A141A7"/>
    <w:rsid w:val="00BD18F5"/>
    <w:rsid w:val="00BD5B6B"/>
    <w:rsid w:val="00C13A26"/>
    <w:rsid w:val="00C40239"/>
    <w:rsid w:val="00C931BD"/>
    <w:rsid w:val="00CB1509"/>
    <w:rsid w:val="00CC41C5"/>
    <w:rsid w:val="00CD4AA3"/>
    <w:rsid w:val="00D358FE"/>
    <w:rsid w:val="00D45D3A"/>
    <w:rsid w:val="00D54B3A"/>
    <w:rsid w:val="00DE5F22"/>
    <w:rsid w:val="00E7038B"/>
    <w:rsid w:val="00E9298F"/>
    <w:rsid w:val="00F40FAD"/>
    <w:rsid w:val="00F50E07"/>
    <w:rsid w:val="00F64555"/>
    <w:rsid w:val="00F706EB"/>
    <w:rsid w:val="00FB07DE"/>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62E5FBFA-589A-4134-938A-4EFC14111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5B787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0614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780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CF1008"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CF1008"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20857"/>
    <w:rsid w:val="006D467C"/>
    <w:rsid w:val="00A32E59"/>
    <w:rsid w:val="00CF100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1946</Words>
  <Characters>9731</Characters>
  <Application>Microsoft Office Word</Application>
  <DocSecurity>4</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2023-06-25T09:47:00Z</dcterms:created>
  <dcterms:modified xsi:type="dcterms:W3CDTF">2023-06-25T09:47:00Z</dcterms:modified>
</cp:coreProperties>
</file>